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rPr>
          <w:rFonts w:ascii="宋体" w:hAnsi="宋体"/>
          <w:b/>
          <w:sz w:val="72"/>
          <w:szCs w:val="72"/>
        </w:rPr>
      </w:pPr>
    </w:p>
    <w:p>
      <w:pPr>
        <w:spacing w:line="24" w:lineRule="atLeast"/>
        <w:jc w:val="center"/>
        <w:rPr>
          <w:rFonts w:ascii="宋体" w:hAnsi="宋体"/>
          <w:b/>
          <w:sz w:val="72"/>
          <w:szCs w:val="72"/>
        </w:rPr>
      </w:pPr>
      <w:r>
        <w:rPr>
          <w:rFonts w:hint="eastAsia" w:ascii="宋体" w:hAnsi="宋体"/>
          <w:b/>
          <w:sz w:val="72"/>
          <w:szCs w:val="72"/>
        </w:rPr>
        <w:t>招标文件</w:t>
      </w:r>
    </w:p>
    <w:p>
      <w:pPr>
        <w:spacing w:line="24" w:lineRule="atLeast"/>
        <w:rPr>
          <w:rFonts w:ascii="宋体" w:hAnsi="宋体"/>
          <w:sz w:val="24"/>
        </w:rPr>
      </w:pPr>
    </w:p>
    <w:p>
      <w:pPr>
        <w:spacing w:line="24" w:lineRule="atLeast"/>
        <w:jc w:val="center"/>
        <w:rPr>
          <w:rFonts w:ascii="宋体" w:hAnsi="宋体"/>
          <w:b/>
          <w:sz w:val="72"/>
          <w:szCs w:val="72"/>
        </w:rPr>
      </w:pPr>
    </w:p>
    <w:p>
      <w:pPr>
        <w:spacing w:line="24" w:lineRule="atLeast"/>
        <w:rPr>
          <w:rFonts w:ascii="宋体" w:hAnsi="宋体"/>
          <w:sz w:val="24"/>
        </w:rPr>
      </w:pPr>
    </w:p>
    <w:p>
      <w:pPr>
        <w:spacing w:line="24" w:lineRule="atLeast"/>
        <w:rPr>
          <w:rFonts w:ascii="宋体" w:hAnsi="宋体"/>
          <w:sz w:val="24"/>
        </w:rPr>
      </w:pPr>
    </w:p>
    <w:p>
      <w:pPr>
        <w:spacing w:line="24" w:lineRule="atLeast"/>
        <w:ind w:right="-147" w:rightChars="-70" w:firstLine="360" w:firstLineChars="100"/>
        <w:rPr>
          <w:rFonts w:ascii="宋体" w:hAnsi="宋体" w:cs="宋体"/>
          <w:sz w:val="36"/>
          <w:szCs w:val="36"/>
          <w:u w:val="single"/>
        </w:rPr>
      </w:pPr>
      <w:r>
        <w:rPr>
          <w:rFonts w:hint="eastAsia" w:ascii="宋体" w:hAnsi="宋体" w:cs="宋体"/>
          <w:sz w:val="36"/>
          <w:szCs w:val="36"/>
        </w:rPr>
        <w:t>招标项目</w:t>
      </w:r>
      <w:r>
        <w:rPr>
          <w:rFonts w:hint="eastAsia" w:ascii="宋体" w:hAnsi="宋体"/>
          <w:sz w:val="36"/>
          <w:szCs w:val="36"/>
        </w:rPr>
        <w:t>：</w:t>
      </w:r>
      <w:r>
        <w:rPr>
          <w:rFonts w:hint="eastAsia" w:ascii="宋体" w:hAnsi="宋体" w:cs="宋体"/>
          <w:sz w:val="36"/>
          <w:szCs w:val="36"/>
          <w:u w:val="single"/>
        </w:rPr>
        <w:t>台州横峰国际鞋材城部分商用面积整体</w:t>
      </w:r>
    </w:p>
    <w:p>
      <w:pPr>
        <w:spacing w:line="24" w:lineRule="atLeast"/>
        <w:ind w:right="-147" w:rightChars="-70" w:firstLine="2160" w:firstLineChars="600"/>
        <w:rPr>
          <w:rFonts w:ascii="宋体" w:hAnsi="宋体"/>
          <w:sz w:val="36"/>
          <w:szCs w:val="36"/>
        </w:rPr>
      </w:pPr>
      <w:r>
        <w:rPr>
          <w:rFonts w:hint="eastAsia" w:ascii="宋体" w:hAnsi="宋体" w:cs="宋体"/>
          <w:sz w:val="36"/>
          <w:szCs w:val="36"/>
          <w:u w:val="single"/>
        </w:rPr>
        <w:t>承包招标</w:t>
      </w:r>
    </w:p>
    <w:p>
      <w:pPr>
        <w:spacing w:line="24" w:lineRule="atLeast"/>
        <w:ind w:firstLine="360" w:firstLineChars="100"/>
        <w:rPr>
          <w:rFonts w:ascii="宋体" w:hAnsi="宋体" w:cs="宋体"/>
          <w:sz w:val="36"/>
          <w:szCs w:val="36"/>
          <w:u w:val="single"/>
        </w:rPr>
      </w:pPr>
      <w:r>
        <w:rPr>
          <w:rFonts w:hint="eastAsia" w:ascii="宋体" w:hAnsi="宋体" w:cs="宋体"/>
          <w:sz w:val="36"/>
          <w:szCs w:val="36"/>
        </w:rPr>
        <w:t>招 标 人</w:t>
      </w:r>
      <w:r>
        <w:rPr>
          <w:rFonts w:hint="eastAsia" w:ascii="宋体" w:hAnsi="宋体"/>
          <w:sz w:val="36"/>
          <w:szCs w:val="36"/>
        </w:rPr>
        <w:t>：</w:t>
      </w:r>
      <w:bookmarkStart w:id="2" w:name="_GoBack"/>
      <w:r>
        <w:rPr>
          <w:rFonts w:hint="eastAsia" w:ascii="宋体" w:hAnsi="宋体" w:cs="宋体"/>
          <w:sz w:val="36"/>
          <w:szCs w:val="36"/>
          <w:u w:val="single"/>
        </w:rPr>
        <w:t>台州横峰国际鞋材城股份有限公司</w:t>
      </w:r>
      <w:bookmarkEnd w:id="2"/>
    </w:p>
    <w:p>
      <w:pPr>
        <w:spacing w:line="24" w:lineRule="atLeast"/>
        <w:ind w:firstLine="360" w:firstLineChars="100"/>
        <w:rPr>
          <w:rFonts w:ascii="宋体" w:hAnsi="宋体" w:cs="宋体"/>
          <w:sz w:val="36"/>
          <w:szCs w:val="36"/>
        </w:rPr>
      </w:pPr>
      <w:r>
        <w:rPr>
          <w:rFonts w:hint="eastAsia" w:ascii="宋体" w:hAnsi="宋体" w:cs="宋体"/>
          <w:sz w:val="36"/>
          <w:szCs w:val="36"/>
        </w:rPr>
        <w:t>联 系 人：</w:t>
      </w:r>
      <w:r>
        <w:rPr>
          <w:rFonts w:hint="eastAsia" w:ascii="宋体" w:hAnsi="宋体" w:cs="宋体"/>
          <w:sz w:val="36"/>
          <w:szCs w:val="36"/>
          <w:u w:val="single"/>
        </w:rPr>
        <w:t xml:space="preserve"> 张崇云 </w:t>
      </w:r>
      <w:r>
        <w:rPr>
          <w:rFonts w:hint="eastAsia" w:ascii="宋体" w:hAnsi="宋体" w:cs="宋体"/>
          <w:sz w:val="36"/>
          <w:szCs w:val="36"/>
        </w:rPr>
        <w:t xml:space="preserve"> </w:t>
      </w:r>
    </w:p>
    <w:p>
      <w:pPr>
        <w:spacing w:line="24" w:lineRule="atLeast"/>
        <w:ind w:firstLine="360" w:firstLineChars="100"/>
        <w:rPr>
          <w:rFonts w:ascii="宋体" w:hAnsi="宋体" w:cs="宋体"/>
          <w:sz w:val="36"/>
          <w:szCs w:val="36"/>
          <w:u w:val="single"/>
        </w:rPr>
      </w:pPr>
      <w:r>
        <w:rPr>
          <w:rFonts w:hint="eastAsia" w:ascii="宋体" w:hAnsi="宋体" w:cs="宋体"/>
          <w:sz w:val="36"/>
          <w:szCs w:val="36"/>
        </w:rPr>
        <w:t>联系电话：</w:t>
      </w:r>
      <w:r>
        <w:rPr>
          <w:rFonts w:hint="eastAsia" w:ascii="宋体" w:hAnsi="宋体" w:cs="宋体"/>
          <w:sz w:val="36"/>
          <w:szCs w:val="36"/>
          <w:u w:val="single"/>
        </w:rPr>
        <w:t xml:space="preserve"> 18657611020 </w:t>
      </w:r>
    </w:p>
    <w:p>
      <w:pPr>
        <w:spacing w:line="24" w:lineRule="atLeast"/>
        <w:ind w:firstLine="360" w:firstLineChars="100"/>
        <w:rPr>
          <w:rFonts w:ascii="宋体" w:hAnsi="宋体" w:cs="宋体"/>
          <w:sz w:val="36"/>
          <w:szCs w:val="36"/>
        </w:rPr>
      </w:pPr>
      <w:r>
        <w:rPr>
          <w:rFonts w:hint="eastAsia" w:ascii="宋体" w:hAnsi="宋体" w:cs="宋体"/>
          <w:sz w:val="36"/>
          <w:szCs w:val="36"/>
        </w:rPr>
        <w:t>招标代理：</w:t>
      </w:r>
      <w:r>
        <w:rPr>
          <w:rFonts w:hint="eastAsia" w:ascii="宋体" w:hAnsi="宋体" w:cs="宋体"/>
          <w:sz w:val="36"/>
          <w:szCs w:val="36"/>
          <w:u w:val="single"/>
        </w:rPr>
        <w:t>浙江金承工程咨询有限公司</w:t>
      </w:r>
    </w:p>
    <w:p>
      <w:pPr>
        <w:spacing w:line="24" w:lineRule="atLeast"/>
        <w:ind w:firstLine="360" w:firstLineChars="100"/>
        <w:rPr>
          <w:rFonts w:ascii="宋体" w:hAnsi="宋体" w:cs="宋体"/>
          <w:sz w:val="36"/>
          <w:szCs w:val="36"/>
        </w:rPr>
      </w:pPr>
      <w:r>
        <w:rPr>
          <w:rFonts w:hint="eastAsia" w:ascii="宋体" w:hAnsi="宋体" w:cs="宋体"/>
          <w:sz w:val="36"/>
          <w:szCs w:val="36"/>
        </w:rPr>
        <w:t>联 系 人：</w:t>
      </w:r>
      <w:r>
        <w:rPr>
          <w:rFonts w:hint="eastAsia" w:ascii="宋体" w:hAnsi="宋体" w:cs="宋体"/>
          <w:sz w:val="36"/>
          <w:szCs w:val="36"/>
          <w:u w:val="single"/>
        </w:rPr>
        <w:t xml:space="preserve">陈伟   </w:t>
      </w:r>
      <w:r>
        <w:rPr>
          <w:rFonts w:hint="eastAsia" w:ascii="宋体" w:hAnsi="宋体" w:cs="宋体"/>
          <w:sz w:val="36"/>
          <w:szCs w:val="36"/>
        </w:rPr>
        <w:t xml:space="preserve">    </w:t>
      </w:r>
    </w:p>
    <w:p>
      <w:pPr>
        <w:spacing w:line="24" w:lineRule="atLeast"/>
        <w:ind w:firstLine="360" w:firstLineChars="100"/>
        <w:rPr>
          <w:rFonts w:ascii="宋体" w:hAnsi="宋体" w:cs="宋体"/>
          <w:sz w:val="36"/>
          <w:szCs w:val="36"/>
          <w:u w:val="single"/>
        </w:rPr>
      </w:pPr>
      <w:r>
        <w:rPr>
          <w:rFonts w:hint="eastAsia" w:ascii="宋体" w:hAnsi="宋体" w:cs="宋体"/>
          <w:sz w:val="36"/>
          <w:szCs w:val="36"/>
        </w:rPr>
        <w:t>联系电话：</w:t>
      </w:r>
      <w:r>
        <w:rPr>
          <w:rFonts w:hint="eastAsia" w:ascii="宋体" w:hAnsi="宋体" w:cs="宋体"/>
          <w:sz w:val="36"/>
          <w:szCs w:val="36"/>
          <w:u w:val="single"/>
        </w:rPr>
        <w:t>13566672626</w:t>
      </w:r>
    </w:p>
    <w:p>
      <w:pPr>
        <w:spacing w:line="24" w:lineRule="atLeast"/>
        <w:ind w:firstLine="720" w:firstLineChars="200"/>
        <w:jc w:val="left"/>
        <w:rPr>
          <w:rFonts w:ascii="宋体" w:hAnsi="宋体"/>
          <w:sz w:val="36"/>
          <w:szCs w:val="36"/>
        </w:rPr>
      </w:pPr>
    </w:p>
    <w:p>
      <w:pPr>
        <w:spacing w:line="24" w:lineRule="atLeast"/>
        <w:ind w:firstLine="560" w:firstLineChars="200"/>
        <w:jc w:val="left"/>
        <w:rPr>
          <w:rFonts w:ascii="宋体" w:hAnsi="宋体"/>
          <w:sz w:val="28"/>
          <w:szCs w:val="28"/>
        </w:rPr>
      </w:pPr>
    </w:p>
    <w:p>
      <w:pPr>
        <w:spacing w:line="24" w:lineRule="atLeast"/>
        <w:ind w:firstLine="560" w:firstLineChars="200"/>
        <w:jc w:val="left"/>
        <w:rPr>
          <w:rFonts w:ascii="宋体" w:hAnsi="宋体"/>
          <w:sz w:val="28"/>
          <w:szCs w:val="28"/>
        </w:rPr>
      </w:pPr>
    </w:p>
    <w:p>
      <w:pPr>
        <w:spacing w:line="24" w:lineRule="atLeast"/>
        <w:jc w:val="center"/>
        <w:rPr>
          <w:rFonts w:ascii="宋体" w:hAnsi="宋体"/>
          <w:sz w:val="28"/>
          <w:szCs w:val="28"/>
          <w:u w:val="single"/>
        </w:rPr>
      </w:pPr>
    </w:p>
    <w:p>
      <w:pPr>
        <w:spacing w:line="24" w:lineRule="atLeast"/>
        <w:jc w:val="center"/>
        <w:rPr>
          <w:rFonts w:ascii="宋体" w:hAnsi="宋体"/>
          <w:sz w:val="28"/>
          <w:szCs w:val="28"/>
        </w:rPr>
      </w:pPr>
      <w:r>
        <w:rPr>
          <w:rFonts w:hint="eastAsia" w:ascii="宋体" w:hAnsi="宋体"/>
          <w:sz w:val="28"/>
          <w:szCs w:val="28"/>
          <w:u w:val="single"/>
        </w:rPr>
        <w:t>2022</w:t>
      </w:r>
      <w:r>
        <w:rPr>
          <w:rFonts w:ascii="宋体" w:hAnsi="宋体"/>
          <w:sz w:val="28"/>
          <w:szCs w:val="28"/>
          <w:u w:val="single"/>
        </w:rPr>
        <w:t>年</w:t>
      </w:r>
      <w:r>
        <w:rPr>
          <w:rFonts w:hint="eastAsia" w:ascii="宋体" w:hAnsi="宋体"/>
          <w:sz w:val="28"/>
          <w:szCs w:val="28"/>
          <w:u w:val="single"/>
        </w:rPr>
        <w:t>7</w:t>
      </w:r>
      <w:r>
        <w:rPr>
          <w:rFonts w:ascii="宋体" w:hAnsi="宋体"/>
          <w:sz w:val="28"/>
          <w:szCs w:val="28"/>
          <w:u w:val="single"/>
        </w:rPr>
        <w:t>月</w:t>
      </w:r>
    </w:p>
    <w:p>
      <w:pPr>
        <w:numPr>
          <w:ilvl w:val="0"/>
          <w:numId w:val="1"/>
        </w:numPr>
        <w:tabs>
          <w:tab w:val="left" w:pos="4005"/>
          <w:tab w:val="left" w:pos="4080"/>
          <w:tab w:val="left" w:pos="6120"/>
          <w:tab w:val="left" w:pos="7540"/>
          <w:tab w:val="left" w:pos="8320"/>
        </w:tabs>
        <w:autoSpaceDE w:val="0"/>
        <w:autoSpaceDN w:val="0"/>
        <w:adjustRightInd w:val="0"/>
        <w:spacing w:line="24" w:lineRule="atLeast"/>
        <w:ind w:right="96"/>
        <w:jc w:val="center"/>
        <w:rPr>
          <w:rFonts w:ascii="宋体" w:hAnsi="宋体"/>
          <w:b/>
          <w:bCs/>
          <w:sz w:val="36"/>
          <w:szCs w:val="36"/>
        </w:rPr>
        <w:sectPr>
          <w:pgSz w:w="11906" w:h="16838"/>
          <w:pgMar w:top="1246" w:right="1644" w:bottom="1440" w:left="1797" w:header="851" w:footer="992" w:gutter="0"/>
          <w:cols w:space="720" w:num="1"/>
          <w:docGrid w:type="lines" w:linePitch="312" w:charSpace="0"/>
        </w:sectPr>
      </w:pPr>
    </w:p>
    <w:p>
      <w:pPr>
        <w:numPr>
          <w:ilvl w:val="0"/>
          <w:numId w:val="1"/>
        </w:numPr>
        <w:tabs>
          <w:tab w:val="left" w:pos="4005"/>
          <w:tab w:val="left" w:pos="4080"/>
          <w:tab w:val="left" w:pos="6120"/>
          <w:tab w:val="left" w:pos="7540"/>
          <w:tab w:val="left" w:pos="8320"/>
        </w:tabs>
        <w:autoSpaceDE w:val="0"/>
        <w:autoSpaceDN w:val="0"/>
        <w:adjustRightInd w:val="0"/>
        <w:spacing w:line="24" w:lineRule="atLeast"/>
        <w:ind w:right="96"/>
        <w:jc w:val="center"/>
        <w:rPr>
          <w:rFonts w:ascii="宋体" w:hAnsi="宋体"/>
          <w:b/>
          <w:bCs/>
          <w:sz w:val="36"/>
          <w:szCs w:val="36"/>
        </w:rPr>
      </w:pPr>
      <w:r>
        <w:rPr>
          <w:rFonts w:hint="eastAsia" w:ascii="宋体" w:hAnsi="宋体"/>
          <w:b/>
          <w:bCs/>
          <w:sz w:val="36"/>
          <w:szCs w:val="36"/>
        </w:rPr>
        <w:t xml:space="preserve"> 投标须知</w:t>
      </w:r>
    </w:p>
    <w:p>
      <w:pPr>
        <w:tabs>
          <w:tab w:val="left" w:pos="4005"/>
          <w:tab w:val="left" w:pos="4080"/>
          <w:tab w:val="left" w:pos="6120"/>
          <w:tab w:val="left" w:pos="7540"/>
          <w:tab w:val="left" w:pos="8320"/>
        </w:tabs>
        <w:autoSpaceDE w:val="0"/>
        <w:autoSpaceDN w:val="0"/>
        <w:adjustRightInd w:val="0"/>
        <w:spacing w:line="24" w:lineRule="atLeast"/>
        <w:ind w:right="96"/>
        <w:jc w:val="center"/>
        <w:rPr>
          <w:rFonts w:ascii="宋体" w:hAnsi="宋体"/>
          <w:sz w:val="24"/>
        </w:rPr>
      </w:pPr>
      <w:r>
        <w:rPr>
          <w:rFonts w:hint="eastAsia" w:ascii="宋体" w:hAnsi="宋体"/>
          <w:b/>
          <w:bCs/>
          <w:sz w:val="36"/>
          <w:szCs w:val="36"/>
        </w:rPr>
        <w:t>1.1</w:t>
      </w:r>
      <w:r>
        <w:rPr>
          <w:rFonts w:hint="eastAsia" w:ascii="宋体" w:hAnsi="宋体"/>
          <w:b/>
          <w:sz w:val="28"/>
          <w:szCs w:val="28"/>
        </w:rPr>
        <w:t>投标人须知前附表</w:t>
      </w:r>
    </w:p>
    <w:tbl>
      <w:tblPr>
        <w:tblStyle w:val="32"/>
        <w:tblW w:w="10598" w:type="dxa"/>
        <w:tblInd w:w="-1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555"/>
        <w:gridCol w:w="8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3" w:type="dxa"/>
            <w:tcBorders>
              <w:top w:val="single" w:color="auto" w:sz="12" w:space="0"/>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b/>
                <w:kern w:val="21"/>
                <w:sz w:val="24"/>
              </w:rPr>
            </w:pPr>
            <w:r>
              <w:rPr>
                <w:rFonts w:hint="eastAsia" w:ascii="宋体" w:hAnsi="宋体"/>
                <w:b/>
                <w:kern w:val="21"/>
                <w:sz w:val="24"/>
              </w:rPr>
              <w:t>序号</w:t>
            </w:r>
          </w:p>
        </w:tc>
        <w:tc>
          <w:tcPr>
            <w:tcW w:w="1555" w:type="dxa"/>
            <w:tcBorders>
              <w:top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b/>
                <w:kern w:val="21"/>
                <w:sz w:val="24"/>
              </w:rPr>
            </w:pPr>
            <w:r>
              <w:rPr>
                <w:rFonts w:hint="eastAsia" w:ascii="宋体" w:hAnsi="宋体"/>
                <w:b/>
                <w:kern w:val="21"/>
                <w:sz w:val="24"/>
              </w:rPr>
              <w:t>内容</w:t>
            </w:r>
          </w:p>
        </w:tc>
        <w:tc>
          <w:tcPr>
            <w:tcW w:w="8180" w:type="dxa"/>
            <w:tcBorders>
              <w:top w:val="single" w:color="auto" w:sz="12" w:space="0"/>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b/>
                <w:kern w:val="21"/>
                <w:sz w:val="24"/>
              </w:rPr>
            </w:pPr>
            <w:r>
              <w:rPr>
                <w:rFonts w:hint="eastAsia" w:ascii="宋体" w:hAnsi="宋体"/>
                <w:b/>
                <w:kern w:val="21"/>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3" w:type="dxa"/>
            <w:vMerge w:val="restart"/>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1</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项目名称</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pacing w:val="-6"/>
                <w:sz w:val="24"/>
              </w:rPr>
            </w:pPr>
            <w:r>
              <w:rPr>
                <w:rFonts w:hint="eastAsia" w:ascii="宋体" w:hAnsi="宋体"/>
                <w:spacing w:val="-6"/>
                <w:sz w:val="24"/>
              </w:rPr>
              <w:t>台州横峰国际鞋材城部分商用面积整体承包招标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3" w:type="dxa"/>
            <w:vMerge w:val="continue"/>
            <w:tcBorders>
              <w:left w:val="single" w:color="auto" w:sz="12" w:space="0"/>
            </w:tcBorders>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zCs w:val="21"/>
              </w:rPr>
            </w:pPr>
          </w:p>
        </w:tc>
        <w:tc>
          <w:tcPr>
            <w:tcW w:w="1555" w:type="dxa"/>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pacing w:val="-6"/>
                <w:sz w:val="24"/>
              </w:rPr>
            </w:pPr>
            <w:r>
              <w:rPr>
                <w:rFonts w:hint="eastAsia" w:ascii="宋体" w:hAnsi="宋体"/>
                <w:spacing w:val="-6"/>
                <w:sz w:val="24"/>
              </w:rPr>
              <w:t>项目地点</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pacing w:val="-6"/>
                <w:sz w:val="24"/>
              </w:rPr>
            </w:pPr>
            <w:r>
              <w:rPr>
                <w:rFonts w:hint="eastAsia" w:ascii="宋体" w:hAnsi="宋体"/>
                <w:spacing w:val="-6"/>
                <w:sz w:val="24"/>
              </w:rPr>
              <w:t>浙江省温岭市横峰街道长汇路8号101室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3" w:type="dxa"/>
            <w:vMerge w:val="continue"/>
            <w:tcBorders>
              <w:left w:val="single" w:color="auto" w:sz="12" w:space="0"/>
            </w:tcBorders>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zCs w:val="21"/>
              </w:rPr>
            </w:pPr>
          </w:p>
        </w:tc>
        <w:tc>
          <w:tcPr>
            <w:tcW w:w="1555" w:type="dxa"/>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招标人</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pacing w:val="-6"/>
                <w:sz w:val="24"/>
              </w:rPr>
            </w:pPr>
            <w:r>
              <w:rPr>
                <w:rFonts w:hint="eastAsia" w:ascii="宋体" w:hAnsi="宋体"/>
                <w:spacing w:val="-6"/>
                <w:sz w:val="24"/>
              </w:rPr>
              <w:t>台州横峰国际鞋材城股份有限公司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2</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招租底价</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kern w:val="21"/>
                <w:sz w:val="24"/>
              </w:rPr>
              <w:t>起拍价为62万元/年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3</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租凭期限</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kern w:val="21"/>
                <w:sz w:val="24"/>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4</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租金支付方式</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spacing w:val="-6"/>
                <w:sz w:val="24"/>
              </w:rPr>
            </w:pPr>
            <w:r>
              <w:rPr>
                <w:rFonts w:hint="eastAsia" w:ascii="宋体" w:hAnsi="宋体"/>
                <w:spacing w:val="-6"/>
                <w:sz w:val="24"/>
              </w:rPr>
              <w:t>中标人与公司签订合同后一个月内</w:t>
            </w:r>
            <w:r>
              <w:rPr>
                <w:rFonts w:ascii="宋体" w:hAnsi="宋体"/>
                <w:spacing w:val="-6"/>
                <w:sz w:val="24"/>
              </w:rPr>
              <w:t>一次性付</w:t>
            </w:r>
            <w:r>
              <w:rPr>
                <w:rFonts w:hint="eastAsia" w:ascii="宋体" w:hAnsi="宋体"/>
                <w:spacing w:val="-6"/>
                <w:sz w:val="24"/>
              </w:rPr>
              <w:t>清一</w:t>
            </w:r>
            <w:r>
              <w:rPr>
                <w:rFonts w:ascii="宋体" w:hAnsi="宋体"/>
                <w:spacing w:val="-6"/>
                <w:sz w:val="24"/>
              </w:rPr>
              <w:t>年度</w:t>
            </w:r>
            <w:r>
              <w:rPr>
                <w:rFonts w:hint="eastAsia" w:ascii="宋体" w:hAnsi="宋体"/>
                <w:spacing w:val="-6"/>
                <w:sz w:val="24"/>
              </w:rPr>
              <w:t>12个月</w:t>
            </w:r>
            <w:r>
              <w:rPr>
                <w:rFonts w:ascii="宋体" w:hAnsi="宋体"/>
                <w:spacing w:val="-6"/>
                <w:sz w:val="24"/>
              </w:rPr>
              <w:t>全部租金。</w:t>
            </w:r>
            <w:r>
              <w:rPr>
                <w:rFonts w:hint="eastAsia" w:ascii="宋体" w:hAnsi="宋体"/>
                <w:b/>
                <w:bCs/>
                <w:spacing w:val="-6"/>
                <w:sz w:val="24"/>
              </w:rPr>
              <w:t>（年段周期12个月，第一年租期为13个月，有一个月作为承租方装修调整用。），签订合同后，交齐押金及承包款后生效执行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5</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投标人资格要求</w:t>
            </w:r>
          </w:p>
        </w:tc>
        <w:tc>
          <w:tcPr>
            <w:tcW w:w="8180" w:type="dxa"/>
            <w:tcBorders>
              <w:right w:val="single" w:color="auto" w:sz="12" w:space="0"/>
            </w:tcBorders>
            <w:vAlign w:val="center"/>
          </w:tcPr>
          <w:p>
            <w:pPr>
              <w:numPr>
                <w:ilvl w:val="0"/>
                <w:numId w:val="2"/>
              </w:num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kern w:val="21"/>
                <w:sz w:val="24"/>
              </w:rPr>
              <w:t>十八周岁以上具有民事行为能力的公民，具备承担本招标项目经济实力、信誉良好、财务状况良好。</w:t>
            </w:r>
          </w:p>
          <w:p>
            <w:pPr>
              <w:numPr>
                <w:ilvl w:val="0"/>
                <w:numId w:val="2"/>
              </w:num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kern w:val="21"/>
                <w:sz w:val="24"/>
              </w:rPr>
              <w:t>最近三年无严重违法或违约行为，在以往租赁中无违规和违约行为。</w:t>
            </w:r>
          </w:p>
          <w:p>
            <w:pPr>
              <w:numPr>
                <w:ilvl w:val="0"/>
                <w:numId w:val="2"/>
              </w:num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kern w:val="21"/>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6</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投标有效期</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kern w:val="21"/>
                <w:sz w:val="24"/>
              </w:rPr>
              <w:t>90天（从提交投标截止时间之日起算）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7</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投标保证金</w:t>
            </w:r>
          </w:p>
        </w:tc>
        <w:tc>
          <w:tcPr>
            <w:tcW w:w="8180" w:type="dxa"/>
            <w:tcBorders>
              <w:right w:val="single" w:color="auto" w:sz="12" w:space="0"/>
            </w:tcBorders>
            <w:vAlign w:val="center"/>
          </w:tcPr>
          <w:p>
            <w:pPr>
              <w:spacing w:line="24" w:lineRule="atLeast"/>
              <w:rPr>
                <w:rFonts w:ascii="宋体" w:hAnsi="宋体"/>
                <w:b/>
                <w:kern w:val="21"/>
                <w:szCs w:val="21"/>
              </w:rPr>
            </w:pPr>
            <w:r>
              <w:rPr>
                <w:rFonts w:hint="eastAsia" w:ascii="宋体" w:hAnsi="宋体"/>
                <w:b/>
                <w:kern w:val="21"/>
                <w:szCs w:val="21"/>
              </w:rPr>
              <w:t>投标保证金的金额：贰拾万元；</w:t>
            </w:r>
          </w:p>
          <w:p>
            <w:pPr>
              <w:spacing w:line="24" w:lineRule="atLeast"/>
              <w:rPr>
                <w:rFonts w:ascii="宋体" w:hAnsi="宋体"/>
                <w:b/>
                <w:kern w:val="21"/>
                <w:szCs w:val="21"/>
                <w:u w:val="single"/>
              </w:rPr>
            </w:pPr>
            <w:r>
              <w:rPr>
                <w:rFonts w:hint="eastAsia" w:ascii="宋体" w:hAnsi="宋体"/>
                <w:b/>
                <w:kern w:val="21"/>
                <w:szCs w:val="21"/>
              </w:rPr>
              <w:t>投标保证金的形式：</w:t>
            </w:r>
            <w:r>
              <w:rPr>
                <w:rFonts w:hint="eastAsia" w:ascii="宋体" w:hAnsi="宋体"/>
                <w:b/>
                <w:kern w:val="21"/>
                <w:szCs w:val="21"/>
                <w:u w:val="single"/>
              </w:rPr>
              <w:t>电汇（或转账）</w:t>
            </w:r>
          </w:p>
          <w:p>
            <w:pPr>
              <w:spacing w:line="24" w:lineRule="atLeast"/>
              <w:rPr>
                <w:rFonts w:ascii="宋体" w:hAnsi="宋体"/>
                <w:b/>
                <w:kern w:val="21"/>
                <w:szCs w:val="21"/>
                <w:u w:val="single"/>
              </w:rPr>
            </w:pPr>
            <w:r>
              <w:rPr>
                <w:rFonts w:hint="eastAsia" w:ascii="宋体" w:hAnsi="宋体"/>
                <w:b/>
                <w:kern w:val="21"/>
                <w:szCs w:val="21"/>
              </w:rPr>
              <w:t xml:space="preserve">投标保证金的到账截止时间： 2022 年 </w:t>
            </w:r>
            <w:r>
              <w:rPr>
                <w:rFonts w:hint="eastAsia" w:ascii="宋体" w:hAnsi="宋体"/>
                <w:b/>
                <w:kern w:val="21"/>
                <w:szCs w:val="21"/>
                <w:lang w:val="en-US" w:eastAsia="zh-CN"/>
              </w:rPr>
              <w:t>7</w:t>
            </w:r>
            <w:r>
              <w:rPr>
                <w:rFonts w:hint="eastAsia" w:ascii="宋体" w:hAnsi="宋体"/>
                <w:b/>
                <w:kern w:val="21"/>
                <w:szCs w:val="21"/>
              </w:rPr>
              <w:t xml:space="preserve"> 月 </w:t>
            </w:r>
            <w:r>
              <w:rPr>
                <w:rFonts w:hint="eastAsia" w:ascii="宋体" w:hAnsi="宋体"/>
                <w:b/>
                <w:kern w:val="21"/>
                <w:szCs w:val="21"/>
                <w:lang w:val="en-US" w:eastAsia="zh-CN"/>
              </w:rPr>
              <w:t>24</w:t>
            </w:r>
            <w:r>
              <w:rPr>
                <w:rFonts w:hint="eastAsia" w:ascii="宋体" w:hAnsi="宋体"/>
                <w:b/>
                <w:kern w:val="21"/>
                <w:szCs w:val="21"/>
              </w:rPr>
              <w:t xml:space="preserve"> 日上午12：00 时整</w:t>
            </w:r>
          </w:p>
          <w:p>
            <w:pPr>
              <w:spacing w:line="24" w:lineRule="atLeast"/>
              <w:rPr>
                <w:rFonts w:ascii="宋体" w:hAnsi="宋体" w:cs="宋体"/>
                <w:b/>
                <w:kern w:val="0"/>
                <w:szCs w:val="21"/>
              </w:rPr>
            </w:pPr>
            <w:r>
              <w:rPr>
                <w:rFonts w:ascii="宋体" w:hAnsi="宋体" w:cs="宋体"/>
                <w:b/>
                <w:kern w:val="0"/>
                <w:szCs w:val="21"/>
              </w:rPr>
              <w:t>收款人名称:</w:t>
            </w:r>
            <w:r>
              <w:rPr>
                <w:rFonts w:hint="eastAsia" w:ascii="宋体" w:hAnsi="宋体" w:cs="宋体"/>
                <w:b/>
                <w:kern w:val="0"/>
                <w:szCs w:val="21"/>
              </w:rPr>
              <w:t>台州横峰国</w:t>
            </w:r>
            <w:r>
              <w:rPr>
                <w:rFonts w:ascii="宋体" w:hAnsi="宋体" w:cs="宋体"/>
                <w:b/>
                <w:kern w:val="0"/>
                <w:szCs w:val="21"/>
              </w:rPr>
              <w:t>际鞋材城股份有限公司</w:t>
            </w:r>
          </w:p>
          <w:p>
            <w:pPr>
              <w:spacing w:line="24" w:lineRule="atLeast"/>
              <w:rPr>
                <w:rFonts w:ascii="宋体" w:hAnsi="宋体" w:cs="宋体"/>
                <w:b/>
                <w:kern w:val="0"/>
                <w:szCs w:val="21"/>
              </w:rPr>
            </w:pPr>
            <w:r>
              <w:rPr>
                <w:rFonts w:ascii="宋体" w:hAnsi="宋体" w:cs="宋体"/>
                <w:b/>
                <w:kern w:val="0"/>
                <w:szCs w:val="21"/>
              </w:rPr>
              <w:t>开户行:台州银行</w:t>
            </w:r>
            <w:r>
              <w:rPr>
                <w:rFonts w:hint="eastAsia" w:ascii="宋体" w:hAnsi="宋体" w:cs="宋体"/>
                <w:b/>
                <w:kern w:val="0"/>
                <w:szCs w:val="21"/>
              </w:rPr>
              <w:t>横峰支行</w:t>
            </w:r>
          </w:p>
          <w:p>
            <w:pPr>
              <w:tabs>
                <w:tab w:val="left" w:pos="4005"/>
                <w:tab w:val="left" w:pos="4080"/>
                <w:tab w:val="left" w:pos="6120"/>
                <w:tab w:val="left" w:pos="7540"/>
                <w:tab w:val="left" w:pos="8320"/>
              </w:tabs>
              <w:autoSpaceDE w:val="0"/>
              <w:autoSpaceDN w:val="0"/>
              <w:adjustRightInd w:val="0"/>
              <w:spacing w:before="17" w:line="24" w:lineRule="atLeast"/>
              <w:ind w:right="-84" w:rightChars="-40"/>
              <w:rPr>
                <w:rFonts w:ascii="宋体" w:hAnsi="宋体" w:cs="宋体"/>
                <w:b/>
                <w:kern w:val="0"/>
                <w:szCs w:val="21"/>
              </w:rPr>
            </w:pPr>
            <w:r>
              <w:rPr>
                <w:rFonts w:ascii="宋体" w:hAnsi="宋体" w:cs="宋体"/>
                <w:b/>
                <w:kern w:val="0"/>
                <w:szCs w:val="21"/>
              </w:rPr>
              <w:t>账户:</w:t>
            </w:r>
            <w:r>
              <w:rPr>
                <w:rFonts w:hint="eastAsia" w:ascii="宋体" w:hAnsi="宋体" w:cs="宋体"/>
                <w:b/>
                <w:kern w:val="0"/>
                <w:szCs w:val="21"/>
              </w:rPr>
              <w:t xml:space="preserve"> 5</w:t>
            </w:r>
            <w:r>
              <w:rPr>
                <w:rFonts w:ascii="宋体" w:hAnsi="宋体" w:cs="宋体"/>
                <w:b/>
                <w:kern w:val="0"/>
                <w:szCs w:val="21"/>
              </w:rPr>
              <w:t>30404415800015</w:t>
            </w:r>
          </w:p>
          <w:p>
            <w:pPr>
              <w:tabs>
                <w:tab w:val="left" w:pos="4005"/>
                <w:tab w:val="left" w:pos="4080"/>
                <w:tab w:val="left" w:pos="6120"/>
                <w:tab w:val="left" w:pos="7540"/>
                <w:tab w:val="left" w:pos="8320"/>
              </w:tabs>
              <w:autoSpaceDE w:val="0"/>
              <w:autoSpaceDN w:val="0"/>
              <w:adjustRightInd w:val="0"/>
              <w:spacing w:before="17" w:line="24" w:lineRule="atLeast"/>
              <w:ind w:right="-84" w:rightChars="-40"/>
              <w:rPr>
                <w:rFonts w:ascii="宋体" w:hAnsi="宋体"/>
                <w:b/>
                <w:kern w:val="21"/>
                <w:szCs w:val="21"/>
                <w:u w:val="single"/>
              </w:rPr>
            </w:pPr>
            <w:r>
              <w:rPr>
                <w:rFonts w:hint="eastAsia" w:ascii="宋体" w:hAnsi="宋体"/>
                <w:b/>
                <w:kern w:val="21"/>
                <w:szCs w:val="21"/>
              </w:rPr>
              <w:t>电汇或转账时必须在用途栏中注明</w:t>
            </w:r>
            <w:r>
              <w:rPr>
                <w:rFonts w:hint="eastAsia" w:ascii="宋体" w:hAnsi="宋体"/>
                <w:b/>
                <w:kern w:val="21"/>
                <w:szCs w:val="21"/>
                <w:u w:val="single"/>
              </w:rPr>
              <w:t>“国际鞋材城”</w:t>
            </w:r>
          </w:p>
          <w:p>
            <w:pPr>
              <w:tabs>
                <w:tab w:val="left" w:pos="4005"/>
                <w:tab w:val="left" w:pos="4080"/>
                <w:tab w:val="left" w:pos="6120"/>
                <w:tab w:val="left" w:pos="7540"/>
                <w:tab w:val="left" w:pos="8320"/>
              </w:tabs>
              <w:autoSpaceDE w:val="0"/>
              <w:autoSpaceDN w:val="0"/>
              <w:adjustRightInd w:val="0"/>
              <w:spacing w:before="17" w:line="24" w:lineRule="atLeast"/>
              <w:ind w:right="-84" w:rightChars="-40"/>
              <w:rPr>
                <w:rFonts w:ascii="宋体" w:hAnsi="宋体"/>
                <w:b/>
                <w:kern w:val="21"/>
                <w:szCs w:val="21"/>
                <w:u w:val="single"/>
              </w:rPr>
            </w:pPr>
            <w:r>
              <w:rPr>
                <w:rFonts w:hint="eastAsia" w:ascii="宋体" w:hAnsi="宋体"/>
                <w:b/>
                <w:kern w:val="21"/>
                <w:szCs w:val="21"/>
                <w:u w:val="single"/>
              </w:rPr>
              <w:t>温馨提示：投标人姓名必须与转账户名一致，否则无效。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8</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开标时间和开标地点</w:t>
            </w:r>
          </w:p>
        </w:tc>
        <w:tc>
          <w:tcPr>
            <w:tcW w:w="8180" w:type="dxa"/>
            <w:tcBorders>
              <w:righ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b/>
                <w:bCs/>
                <w:kern w:val="21"/>
                <w:sz w:val="24"/>
              </w:rPr>
            </w:pPr>
            <w:r>
              <w:rPr>
                <w:rFonts w:hint="eastAsia" w:ascii="宋体" w:hAnsi="宋体"/>
                <w:b/>
                <w:bCs/>
                <w:kern w:val="21"/>
                <w:sz w:val="24"/>
              </w:rPr>
              <w:t>开标时间：2022年</w:t>
            </w:r>
            <w:r>
              <w:rPr>
                <w:rFonts w:hint="eastAsia" w:ascii="宋体" w:hAnsi="宋体"/>
                <w:b/>
                <w:bCs/>
                <w:kern w:val="21"/>
                <w:sz w:val="24"/>
                <w:lang w:val="en-US" w:eastAsia="zh-CN"/>
              </w:rPr>
              <w:t>7</w:t>
            </w:r>
            <w:r>
              <w:rPr>
                <w:rFonts w:hint="eastAsia" w:ascii="宋体" w:hAnsi="宋体"/>
                <w:b/>
                <w:bCs/>
                <w:kern w:val="21"/>
                <w:sz w:val="24"/>
              </w:rPr>
              <w:t xml:space="preserve"> 月</w:t>
            </w:r>
            <w:r>
              <w:rPr>
                <w:rFonts w:hint="eastAsia" w:ascii="宋体" w:hAnsi="宋体"/>
                <w:b/>
                <w:bCs/>
                <w:kern w:val="21"/>
                <w:sz w:val="24"/>
                <w:lang w:val="en-US" w:eastAsia="zh-CN"/>
              </w:rPr>
              <w:t>25</w:t>
            </w:r>
            <w:r>
              <w:rPr>
                <w:rFonts w:hint="eastAsia" w:ascii="宋体" w:hAnsi="宋体"/>
                <w:b/>
                <w:bCs/>
                <w:kern w:val="21"/>
                <w:sz w:val="24"/>
              </w:rPr>
              <w:t xml:space="preserve"> 日下午</w:t>
            </w:r>
            <w:r>
              <w:rPr>
                <w:rFonts w:hint="eastAsia" w:ascii="宋体" w:hAnsi="宋体"/>
                <w:b/>
                <w:bCs/>
                <w:kern w:val="21"/>
                <w:sz w:val="24"/>
                <w:lang w:val="en-US" w:eastAsia="zh-CN"/>
              </w:rPr>
              <w:t>14</w:t>
            </w:r>
            <w:r>
              <w:rPr>
                <w:rFonts w:hint="eastAsia" w:ascii="宋体" w:hAnsi="宋体"/>
                <w:b/>
                <w:bCs/>
                <w:kern w:val="21"/>
                <w:sz w:val="24"/>
              </w:rPr>
              <w:t>：</w:t>
            </w:r>
            <w:r>
              <w:rPr>
                <w:rFonts w:hint="eastAsia" w:ascii="宋体" w:hAnsi="宋体"/>
                <w:b/>
                <w:bCs/>
                <w:kern w:val="21"/>
                <w:sz w:val="24"/>
                <w:lang w:val="en-US" w:eastAsia="zh-CN"/>
              </w:rPr>
              <w:t>3</w:t>
            </w:r>
            <w:r>
              <w:rPr>
                <w:rFonts w:hint="eastAsia" w:ascii="宋体" w:hAnsi="宋体"/>
                <w:b/>
                <w:bCs/>
                <w:kern w:val="21"/>
                <w:sz w:val="24"/>
              </w:rPr>
              <w:t>0时整</w:t>
            </w:r>
          </w:p>
          <w:p>
            <w:pPr>
              <w:tabs>
                <w:tab w:val="left" w:pos="4005"/>
                <w:tab w:val="left" w:pos="4080"/>
                <w:tab w:val="left" w:pos="6120"/>
                <w:tab w:val="left" w:pos="7540"/>
                <w:tab w:val="left" w:pos="8320"/>
              </w:tabs>
              <w:autoSpaceDE w:val="0"/>
              <w:autoSpaceDN w:val="0"/>
              <w:adjustRightInd w:val="0"/>
              <w:spacing w:before="17" w:line="24" w:lineRule="atLeast"/>
              <w:ind w:right="94"/>
              <w:rPr>
                <w:rFonts w:ascii="宋体" w:hAnsi="宋体"/>
                <w:kern w:val="21"/>
                <w:sz w:val="24"/>
              </w:rPr>
            </w:pPr>
            <w:r>
              <w:rPr>
                <w:rFonts w:hint="eastAsia" w:ascii="宋体" w:hAnsi="宋体"/>
                <w:b/>
                <w:bCs/>
                <w:kern w:val="21"/>
                <w:sz w:val="24"/>
              </w:rPr>
              <w:t>地点：台州横峰国际鞋材城三楼会议室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63" w:type="dxa"/>
            <w:tcBorders>
              <w:left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 xml:space="preserve"> 9</w:t>
            </w:r>
          </w:p>
        </w:tc>
        <w:tc>
          <w:tcPr>
            <w:tcW w:w="1555" w:type="dxa"/>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kern w:val="21"/>
                <w:sz w:val="24"/>
              </w:rPr>
            </w:pPr>
            <w:r>
              <w:rPr>
                <w:rFonts w:hint="eastAsia" w:ascii="宋体" w:hAnsi="宋体"/>
                <w:kern w:val="21"/>
                <w:sz w:val="24"/>
              </w:rPr>
              <w:t>履约保证金</w:t>
            </w:r>
          </w:p>
        </w:tc>
        <w:tc>
          <w:tcPr>
            <w:tcW w:w="8180" w:type="dxa"/>
            <w:tcBorders>
              <w:right w:val="single" w:color="auto" w:sz="12" w:space="0"/>
            </w:tcBorders>
            <w:vAlign w:val="center"/>
          </w:tcPr>
          <w:p>
            <w:pPr>
              <w:spacing w:line="24" w:lineRule="atLeast"/>
              <w:ind w:firstLine="118" w:firstLineChars="49"/>
              <w:rPr>
                <w:b/>
                <w:kern w:val="21"/>
                <w:sz w:val="24"/>
              </w:rPr>
            </w:pPr>
            <w:r>
              <w:rPr>
                <w:b/>
                <w:kern w:val="21"/>
                <w:sz w:val="24"/>
              </w:rPr>
              <w:t>履约担保形式：</w:t>
            </w:r>
            <w:r>
              <w:rPr>
                <w:rFonts w:hint="eastAsia"/>
                <w:b/>
                <w:kern w:val="21"/>
                <w:sz w:val="24"/>
              </w:rPr>
              <w:t>履约保证金</w:t>
            </w:r>
          </w:p>
          <w:p>
            <w:pPr>
              <w:spacing w:line="24" w:lineRule="atLeast"/>
              <w:ind w:firstLine="118" w:firstLineChars="49"/>
              <w:rPr>
                <w:b/>
                <w:kern w:val="21"/>
                <w:sz w:val="24"/>
              </w:rPr>
            </w:pPr>
            <w:r>
              <w:rPr>
                <w:rFonts w:hint="eastAsia"/>
                <w:b/>
                <w:kern w:val="21"/>
                <w:sz w:val="24"/>
              </w:rPr>
              <w:t>金额：叁拾万元</w:t>
            </w:r>
          </w:p>
          <w:p>
            <w:pPr>
              <w:spacing w:line="24" w:lineRule="atLeast"/>
              <w:ind w:firstLine="118" w:firstLineChars="49"/>
              <w:rPr>
                <w:b/>
                <w:kern w:val="21"/>
                <w:sz w:val="24"/>
              </w:rPr>
            </w:pPr>
            <w:r>
              <w:rPr>
                <w:rFonts w:hint="eastAsia"/>
                <w:b/>
                <w:kern w:val="21"/>
                <w:sz w:val="24"/>
              </w:rPr>
              <w:t>支付期限：中标后一个周内付齐。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63" w:type="dxa"/>
            <w:tcBorders>
              <w:left w:val="single" w:color="auto" w:sz="12" w:space="0"/>
              <w:bottom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szCs w:val="21"/>
              </w:rPr>
            </w:pPr>
            <w:r>
              <w:rPr>
                <w:rFonts w:hint="eastAsia" w:ascii="宋体" w:hAnsi="宋体"/>
                <w:szCs w:val="21"/>
              </w:rPr>
              <w:t>10</w:t>
            </w:r>
          </w:p>
        </w:tc>
        <w:tc>
          <w:tcPr>
            <w:tcW w:w="1555" w:type="dxa"/>
            <w:tcBorders>
              <w:bottom w:val="single" w:color="auto" w:sz="12" w:space="0"/>
            </w:tcBorders>
            <w:vAlign w:val="center"/>
          </w:tcPr>
          <w:p>
            <w:pPr>
              <w:tabs>
                <w:tab w:val="left" w:pos="4005"/>
                <w:tab w:val="left" w:pos="4080"/>
                <w:tab w:val="left" w:pos="6120"/>
                <w:tab w:val="left" w:pos="7540"/>
                <w:tab w:val="left" w:pos="8320"/>
              </w:tabs>
              <w:autoSpaceDE w:val="0"/>
              <w:autoSpaceDN w:val="0"/>
              <w:adjustRightInd w:val="0"/>
              <w:spacing w:before="17" w:line="24" w:lineRule="atLeast"/>
              <w:ind w:right="94"/>
              <w:jc w:val="center"/>
              <w:rPr>
                <w:rFonts w:ascii="宋体" w:hAnsi="宋体" w:eastAsia="微软雅黑"/>
                <w:b/>
                <w:bCs/>
                <w:kern w:val="21"/>
                <w:sz w:val="24"/>
              </w:rPr>
            </w:pPr>
            <w:r>
              <w:rPr>
                <w:rFonts w:hint="eastAsia" w:ascii="宋体" w:hAnsi="宋体"/>
                <w:b/>
                <w:bCs/>
                <w:kern w:val="21"/>
                <w:sz w:val="24"/>
              </w:rPr>
              <w:t>其他要求</w:t>
            </w:r>
          </w:p>
        </w:tc>
        <w:tc>
          <w:tcPr>
            <w:tcW w:w="8180" w:type="dxa"/>
            <w:tcBorders>
              <w:bottom w:val="single" w:color="auto" w:sz="12" w:space="0"/>
              <w:right w:val="single" w:color="auto" w:sz="12" w:space="0"/>
            </w:tcBorders>
            <w:vAlign w:val="center"/>
          </w:tcPr>
          <w:p>
            <w:pPr>
              <w:spacing w:line="24" w:lineRule="atLeast"/>
              <w:ind w:left="118"/>
              <w:rPr>
                <w:rFonts w:ascii="宋体" w:hAnsi="宋体"/>
                <w:b/>
                <w:bCs/>
                <w:kern w:val="21"/>
                <w:sz w:val="24"/>
              </w:rPr>
            </w:pPr>
          </w:p>
        </w:tc>
      </w:tr>
    </w:tbl>
    <w:p>
      <w:p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黑体" w:hAnsi="黑体" w:eastAsia="黑体" w:cs="黑体"/>
          <w:b/>
          <w:sz w:val="36"/>
          <w:szCs w:val="36"/>
        </w:rPr>
      </w:pPr>
    </w:p>
    <w:p>
      <w:p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
          <w:sz w:val="36"/>
          <w:szCs w:val="36"/>
        </w:rPr>
      </w:pPr>
      <w:r>
        <w:rPr>
          <w:rFonts w:hint="eastAsia" w:ascii="黑体" w:hAnsi="黑体" w:eastAsia="黑体" w:cs="黑体"/>
          <w:b/>
          <w:sz w:val="36"/>
          <w:szCs w:val="36"/>
        </w:rPr>
        <w:br w:type="page"/>
      </w:r>
      <w:r>
        <w:rPr>
          <w:rFonts w:hint="eastAsia" w:ascii="黑体" w:hAnsi="黑体" w:eastAsia="黑体" w:cs="黑体"/>
          <w:b/>
          <w:sz w:val="36"/>
          <w:szCs w:val="36"/>
        </w:rPr>
        <w:t>一、资格后审</w:t>
      </w:r>
    </w:p>
    <w:p>
      <w:p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1.2.1本服务项目招标采用资格后审的方式进行资格审查。</w:t>
      </w:r>
    </w:p>
    <w:p>
      <w:p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1.2.2资格后审强制性条件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4167"/>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tabs>
                <w:tab w:val="left" w:pos="4005"/>
                <w:tab w:val="left" w:pos="4080"/>
                <w:tab w:val="left" w:pos="6120"/>
                <w:tab w:val="left" w:pos="7540"/>
                <w:tab w:val="left" w:pos="8320"/>
              </w:tabs>
              <w:autoSpaceDE w:val="0"/>
              <w:autoSpaceDN w:val="0"/>
              <w:adjustRightInd w:val="0"/>
              <w:spacing w:before="17" w:line="24" w:lineRule="atLeast"/>
              <w:ind w:right="96"/>
              <w:jc w:val="center"/>
              <w:rPr>
                <w:rFonts w:ascii="宋体" w:hAnsi="宋体"/>
                <w:bCs/>
                <w:sz w:val="28"/>
                <w:szCs w:val="28"/>
              </w:rPr>
            </w:pPr>
            <w:r>
              <w:rPr>
                <w:rFonts w:hint="eastAsia" w:ascii="宋体" w:hAnsi="宋体"/>
                <w:bCs/>
                <w:sz w:val="28"/>
                <w:szCs w:val="28"/>
              </w:rPr>
              <w:t>序号</w:t>
            </w:r>
          </w:p>
        </w:tc>
        <w:tc>
          <w:tcPr>
            <w:tcW w:w="4167" w:type="dxa"/>
          </w:tcPr>
          <w:p>
            <w:pPr>
              <w:tabs>
                <w:tab w:val="left" w:pos="4005"/>
                <w:tab w:val="left" w:pos="4080"/>
                <w:tab w:val="left" w:pos="6120"/>
                <w:tab w:val="left" w:pos="7540"/>
                <w:tab w:val="left" w:pos="8320"/>
              </w:tabs>
              <w:autoSpaceDE w:val="0"/>
              <w:autoSpaceDN w:val="0"/>
              <w:adjustRightInd w:val="0"/>
              <w:spacing w:before="17" w:line="24" w:lineRule="atLeast"/>
              <w:ind w:right="96"/>
              <w:jc w:val="center"/>
              <w:rPr>
                <w:rFonts w:ascii="宋体" w:hAnsi="宋体"/>
                <w:bCs/>
                <w:sz w:val="28"/>
                <w:szCs w:val="28"/>
              </w:rPr>
            </w:pPr>
            <w:r>
              <w:rPr>
                <w:rFonts w:hint="eastAsia" w:ascii="宋体" w:hAnsi="宋体"/>
                <w:bCs/>
                <w:sz w:val="28"/>
                <w:szCs w:val="28"/>
              </w:rPr>
              <w:t>项目内容</w:t>
            </w:r>
          </w:p>
        </w:tc>
        <w:tc>
          <w:tcPr>
            <w:tcW w:w="2892" w:type="dxa"/>
          </w:tcPr>
          <w:p>
            <w:pPr>
              <w:tabs>
                <w:tab w:val="left" w:pos="4005"/>
                <w:tab w:val="left" w:pos="4080"/>
                <w:tab w:val="left" w:pos="6120"/>
                <w:tab w:val="left" w:pos="7540"/>
                <w:tab w:val="left" w:pos="8320"/>
              </w:tabs>
              <w:autoSpaceDE w:val="0"/>
              <w:autoSpaceDN w:val="0"/>
              <w:adjustRightInd w:val="0"/>
              <w:spacing w:before="17" w:line="24" w:lineRule="atLeast"/>
              <w:ind w:right="96"/>
              <w:jc w:val="center"/>
              <w:rPr>
                <w:rFonts w:ascii="宋体" w:hAnsi="宋体"/>
                <w:bCs/>
                <w:sz w:val="28"/>
                <w:szCs w:val="28"/>
              </w:rPr>
            </w:pPr>
            <w:r>
              <w:rPr>
                <w:rFonts w:hint="eastAsia" w:ascii="宋体" w:hAnsi="宋体"/>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tabs>
                <w:tab w:val="left" w:pos="4005"/>
                <w:tab w:val="left" w:pos="4080"/>
                <w:tab w:val="left" w:pos="6120"/>
                <w:tab w:val="left" w:pos="7540"/>
                <w:tab w:val="left" w:pos="8320"/>
              </w:tabs>
              <w:autoSpaceDE w:val="0"/>
              <w:autoSpaceDN w:val="0"/>
              <w:adjustRightInd w:val="0"/>
              <w:spacing w:before="17" w:line="24" w:lineRule="atLeast"/>
              <w:ind w:right="96"/>
              <w:jc w:val="center"/>
              <w:rPr>
                <w:rFonts w:ascii="宋体" w:hAnsi="宋体"/>
                <w:bCs/>
                <w:sz w:val="28"/>
                <w:szCs w:val="28"/>
              </w:rPr>
            </w:pPr>
            <w:r>
              <w:rPr>
                <w:rFonts w:hint="eastAsia" w:ascii="宋体" w:hAnsi="宋体"/>
                <w:bCs/>
                <w:sz w:val="28"/>
                <w:szCs w:val="28"/>
              </w:rPr>
              <w:t>1</w:t>
            </w:r>
          </w:p>
        </w:tc>
        <w:tc>
          <w:tcPr>
            <w:tcW w:w="4167" w:type="dxa"/>
          </w:tcPr>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投标人身份证原件</w:t>
            </w:r>
          </w:p>
        </w:tc>
        <w:tc>
          <w:tcPr>
            <w:tcW w:w="2892" w:type="dxa"/>
          </w:tcPr>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真实、有效</w:t>
            </w:r>
          </w:p>
        </w:tc>
      </w:tr>
    </w:tbl>
    <w:p>
      <w:p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1.2.3资格后审办法</w:t>
      </w:r>
    </w:p>
    <w:p>
      <w:pPr>
        <w:numPr>
          <w:ilvl w:val="0"/>
          <w:numId w:val="3"/>
        </w:num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资格后审由本项目招标人对其进行审查。</w:t>
      </w:r>
    </w:p>
    <w:p>
      <w:pPr>
        <w:numPr>
          <w:ilvl w:val="0"/>
          <w:numId w:val="3"/>
        </w:num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资格后审是指对投标申请人资格进行的审查，只有通过资格后审的投标申请人，方为有效投标申请人。</w:t>
      </w:r>
    </w:p>
    <w:p>
      <w:pPr>
        <w:numPr>
          <w:ilvl w:val="0"/>
          <w:numId w:val="3"/>
        </w:numPr>
        <w:tabs>
          <w:tab w:val="left" w:pos="4005"/>
          <w:tab w:val="left" w:pos="4080"/>
          <w:tab w:val="left" w:pos="6120"/>
          <w:tab w:val="left" w:pos="7540"/>
          <w:tab w:val="left" w:pos="8320"/>
        </w:tabs>
        <w:autoSpaceDE w:val="0"/>
        <w:autoSpaceDN w:val="0"/>
        <w:adjustRightInd w:val="0"/>
        <w:spacing w:before="17" w:line="24" w:lineRule="atLeast"/>
        <w:ind w:left="420" w:right="96"/>
        <w:jc w:val="left"/>
        <w:rPr>
          <w:rFonts w:ascii="宋体" w:hAnsi="宋体"/>
          <w:bCs/>
          <w:sz w:val="28"/>
          <w:szCs w:val="28"/>
        </w:rPr>
      </w:pPr>
      <w:r>
        <w:rPr>
          <w:rFonts w:hint="eastAsia" w:ascii="宋体" w:hAnsi="宋体"/>
          <w:bCs/>
          <w:sz w:val="28"/>
          <w:szCs w:val="28"/>
        </w:rPr>
        <w:t>资格后审按下列程序进去：</w:t>
      </w:r>
    </w:p>
    <w:p>
      <w:pPr>
        <w:numPr>
          <w:ilvl w:val="0"/>
          <w:numId w:val="4"/>
        </w:num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对投标申请人进行资格后审强制性条件审查，并确定通过名单。</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28"/>
          <w:szCs w:val="28"/>
        </w:rPr>
      </w:pP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44"/>
          <w:szCs w:val="44"/>
        </w:rPr>
      </w:pPr>
      <w:r>
        <w:rPr>
          <w:rFonts w:hint="eastAsia" w:ascii="黑体" w:hAnsi="黑体" w:eastAsia="黑体" w:cs="黑体"/>
          <w:b/>
          <w:sz w:val="36"/>
          <w:szCs w:val="36"/>
        </w:rPr>
        <w:t>二、招标代理服务费</w:t>
      </w:r>
    </w:p>
    <w:p>
      <w:pPr>
        <w:tabs>
          <w:tab w:val="left" w:pos="4005"/>
          <w:tab w:val="left" w:pos="4080"/>
          <w:tab w:val="left" w:pos="6120"/>
          <w:tab w:val="left" w:pos="7540"/>
          <w:tab w:val="left" w:pos="8320"/>
        </w:tabs>
        <w:autoSpaceDE w:val="0"/>
        <w:autoSpaceDN w:val="0"/>
        <w:adjustRightInd w:val="0"/>
        <w:spacing w:before="17" w:line="24" w:lineRule="atLeast"/>
        <w:ind w:left="840" w:right="96" w:hanging="840" w:hangingChars="300"/>
        <w:jc w:val="left"/>
        <w:rPr>
          <w:rFonts w:ascii="宋体" w:hAnsi="宋体"/>
          <w:b/>
          <w:sz w:val="28"/>
          <w:szCs w:val="28"/>
        </w:rPr>
      </w:pPr>
      <w:r>
        <w:rPr>
          <w:rFonts w:hint="eastAsia" w:ascii="宋体" w:hAnsi="宋体"/>
          <w:bCs/>
          <w:sz w:val="28"/>
          <w:szCs w:val="28"/>
        </w:rPr>
        <w:t>2.1 本项目招标代理服务费在签订合同前由招标人一次性支付，费用按</w:t>
      </w:r>
      <w:r>
        <w:rPr>
          <w:rFonts w:hint="eastAsia" w:ascii="宋体" w:hAnsi="宋体"/>
          <w:bCs/>
          <w:sz w:val="28"/>
          <w:szCs w:val="28"/>
          <w:u w:val="single"/>
        </w:rPr>
        <w:t xml:space="preserve">  2800  </w:t>
      </w:r>
      <w:r>
        <w:rPr>
          <w:rFonts w:hint="eastAsia" w:ascii="宋体" w:hAnsi="宋体"/>
          <w:bCs/>
          <w:sz w:val="28"/>
          <w:szCs w:val="28"/>
        </w:rPr>
        <w:t>元整计取。</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28"/>
          <w:szCs w:val="28"/>
        </w:rPr>
      </w:pP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44"/>
          <w:szCs w:val="44"/>
        </w:rPr>
      </w:pPr>
      <w:r>
        <w:rPr>
          <w:rFonts w:hint="eastAsia" w:ascii="黑体" w:hAnsi="黑体" w:eastAsia="黑体" w:cs="黑体"/>
          <w:b/>
          <w:sz w:val="36"/>
          <w:szCs w:val="36"/>
        </w:rPr>
        <w:t>三、招租商业用地概况</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3.1地址：浙江省温岭市横峰街道长汇路8号101室。</w:t>
      </w:r>
    </w:p>
    <w:p>
      <w:pPr>
        <w:spacing w:line="24" w:lineRule="atLeast"/>
        <w:ind w:firstLine="560" w:firstLineChars="200"/>
        <w:rPr>
          <w:rFonts w:ascii="宋体" w:hAnsi="宋体"/>
          <w:b/>
          <w:sz w:val="28"/>
          <w:szCs w:val="28"/>
        </w:rPr>
      </w:pPr>
      <w:r>
        <w:rPr>
          <w:rFonts w:hint="eastAsia" w:ascii="宋体" w:hAnsi="宋体"/>
          <w:bCs/>
          <w:sz w:val="28"/>
          <w:szCs w:val="28"/>
        </w:rPr>
        <w:t>3.2概况：</w:t>
      </w:r>
      <w:r>
        <w:rPr>
          <w:rFonts w:hint="eastAsia" w:ascii="宋体" w:hAnsi="宋体"/>
          <w:bCs/>
          <w:sz w:val="28"/>
          <w:szCs w:val="28"/>
          <w:u w:val="single"/>
        </w:rPr>
        <w:t>本次承包标的为台州横峰国际鞋材城有限公司（以下简称公司）一号楼二楼新空出来的3217平米的空间。</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44"/>
          <w:szCs w:val="44"/>
        </w:rPr>
      </w:pPr>
      <w:r>
        <w:rPr>
          <w:rFonts w:hint="eastAsia" w:ascii="黑体" w:hAnsi="黑体" w:eastAsia="黑体" w:cs="黑体"/>
          <w:b/>
          <w:sz w:val="36"/>
          <w:szCs w:val="36"/>
        </w:rPr>
        <w:t>四、招租范围及期限</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
          <w:sz w:val="44"/>
          <w:szCs w:val="44"/>
        </w:rPr>
        <w:t xml:space="preserve">  </w:t>
      </w:r>
      <w:r>
        <w:rPr>
          <w:rFonts w:hint="eastAsia" w:ascii="宋体" w:hAnsi="宋体"/>
          <w:bCs/>
          <w:sz w:val="28"/>
          <w:szCs w:val="28"/>
        </w:rPr>
        <w:t>4.1 本项目对台州横峰国际鞋材城有限公司部分商业面积招标进行招标，中标人经营用途须符合国家法律法规及用地国土相关条文规定，</w:t>
      </w:r>
      <w:r>
        <w:rPr>
          <w:rFonts w:hint="eastAsia" w:ascii="宋体" w:hAnsi="宋体"/>
          <w:bCs/>
          <w:sz w:val="28"/>
          <w:szCs w:val="28"/>
          <w:u w:val="single"/>
        </w:rPr>
        <w:t>行业类别：鞋材市场优先考虑，可延展为鞋类相关产品市场。若确需改变，可经营其他附合国家法律法规的其他项目。如需审批等一切手续及问题均由承包人负责与公司无关。但退出时，必须空调正常，消防符合国家要求可正常经营。如有问题，按实际恢复费用由承包人赔偿。</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 xml:space="preserve">  4.2 本项目租赁期限暂定为9年，签订合同后，交齐押金及承包款后生效执行，合同签订后，租赁期满后，工程投资建设的固定资产无偿移交给招标人。</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 xml:space="preserve">  4.3 本项目租赁期间，如遇政策调整等原因，导致拆除等结果，招标人仅退还余下租金，其余补偿不再进行。</w:t>
      </w:r>
    </w:p>
    <w:p>
      <w:pPr>
        <w:tabs>
          <w:tab w:val="left" w:pos="4005"/>
          <w:tab w:val="left" w:pos="4080"/>
          <w:tab w:val="left" w:pos="6120"/>
          <w:tab w:val="left" w:pos="7540"/>
          <w:tab w:val="left" w:pos="8320"/>
        </w:tabs>
        <w:autoSpaceDE w:val="0"/>
        <w:autoSpaceDN w:val="0"/>
        <w:adjustRightInd w:val="0"/>
        <w:spacing w:before="17" w:line="24" w:lineRule="atLeast"/>
        <w:ind w:right="96" w:firstLine="280" w:firstLineChars="100"/>
        <w:jc w:val="left"/>
        <w:rPr>
          <w:rFonts w:ascii="宋体" w:hAnsi="宋体"/>
          <w:bCs/>
          <w:sz w:val="28"/>
          <w:szCs w:val="28"/>
        </w:rPr>
      </w:pPr>
      <w:r>
        <w:rPr>
          <w:rFonts w:hint="eastAsia" w:ascii="宋体" w:hAnsi="宋体"/>
          <w:bCs/>
          <w:sz w:val="28"/>
          <w:szCs w:val="28"/>
        </w:rPr>
        <w:t>4.4 承包为带租承包，现有所有租户继承给承包人。已交租金给公司的，承包后按实际时间退给承包方，押金在合同到期后由公司退给租户。</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Cs/>
          <w:sz w:val="28"/>
          <w:szCs w:val="28"/>
        </w:rPr>
      </w:pPr>
      <w:r>
        <w:rPr>
          <w:rFonts w:hint="eastAsia" w:ascii="宋体" w:hAnsi="宋体"/>
          <w:bCs/>
          <w:sz w:val="28"/>
          <w:szCs w:val="28"/>
        </w:rPr>
        <w:t xml:space="preserve">   </w:t>
      </w:r>
    </w:p>
    <w:p>
      <w:pPr>
        <w:tabs>
          <w:tab w:val="left" w:pos="4005"/>
          <w:tab w:val="left" w:pos="4080"/>
          <w:tab w:val="left" w:pos="6120"/>
          <w:tab w:val="left" w:pos="7540"/>
          <w:tab w:val="left" w:pos="8320"/>
        </w:tabs>
        <w:autoSpaceDE w:val="0"/>
        <w:autoSpaceDN w:val="0"/>
        <w:adjustRightInd w:val="0"/>
        <w:spacing w:before="17" w:line="24" w:lineRule="atLeast"/>
        <w:ind w:right="96"/>
        <w:jc w:val="left"/>
        <w:rPr>
          <w:rFonts w:ascii="宋体" w:hAnsi="宋体"/>
          <w:b/>
          <w:sz w:val="44"/>
          <w:szCs w:val="44"/>
        </w:rPr>
      </w:pPr>
      <w:r>
        <w:rPr>
          <w:rFonts w:hint="eastAsia" w:ascii="黑体" w:hAnsi="黑体" w:eastAsia="黑体" w:cs="黑体"/>
          <w:b/>
          <w:sz w:val="36"/>
          <w:szCs w:val="36"/>
        </w:rPr>
        <w:t>五、招标文件</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5.1 招标文件的组成</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招标文件的主要由投标须知、合同书格式等内容组成。</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5.2招标文件的修改</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5.2.1 在距投标截止时间的24小时前的任何时候，招标人可发书面补充通知修改招标文件内容。若招标人在投标截止时间24小时内发补充通知，则将按规定酌情延长投标截止时间，以保证投标人有合理的时间理解招标文件。</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5.2.2 上述补充通知将会发给所有获取招标文件的投标人，并作为招标文件的组成部分。投标申请人在每一次收到补充通知后应以书面形式通知招标人，确认已收到该补充通知。</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5.3 现场查看</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5.3.1 本次招标不组织统一的现场查看和标前会。</w:t>
      </w:r>
    </w:p>
    <w:p>
      <w:pPr>
        <w:tabs>
          <w:tab w:val="left" w:pos="4005"/>
          <w:tab w:val="left" w:pos="4080"/>
          <w:tab w:val="left" w:pos="6120"/>
          <w:tab w:val="left" w:pos="7540"/>
          <w:tab w:val="left" w:pos="8320"/>
        </w:tabs>
        <w:autoSpaceDE w:val="0"/>
        <w:autoSpaceDN w:val="0"/>
        <w:adjustRightInd w:val="0"/>
        <w:spacing w:before="17" w:line="24" w:lineRule="atLeast"/>
        <w:ind w:right="96" w:firstLine="560" w:firstLineChars="200"/>
        <w:jc w:val="left"/>
        <w:rPr>
          <w:rFonts w:ascii="宋体" w:hAnsi="宋体"/>
          <w:bCs/>
          <w:sz w:val="28"/>
          <w:szCs w:val="28"/>
        </w:rPr>
      </w:pPr>
      <w:r>
        <w:rPr>
          <w:rFonts w:hint="eastAsia" w:ascii="宋体" w:hAnsi="宋体"/>
          <w:bCs/>
          <w:sz w:val="28"/>
          <w:szCs w:val="28"/>
        </w:rPr>
        <w:t>5.3.2 投标人根据实际情况可以自行到现场查看。投标人需查看现场时，需事先与招标人联系。除由于招标人的原因外，在现场查看中所发生的事件和相关经费由各投标人自行负责。</w:t>
      </w:r>
    </w:p>
    <w:p>
      <w:pPr>
        <w:spacing w:line="24" w:lineRule="atLeast"/>
        <w:ind w:left="13" w:firstLine="561"/>
        <w:jc w:val="left"/>
        <w:rPr>
          <w:sz w:val="28"/>
          <w:szCs w:val="28"/>
        </w:rPr>
      </w:pPr>
    </w:p>
    <w:p>
      <w:pPr>
        <w:spacing w:line="24" w:lineRule="atLeast"/>
        <w:jc w:val="left"/>
        <w:rPr>
          <w:sz w:val="28"/>
          <w:szCs w:val="28"/>
        </w:rPr>
      </w:pPr>
      <w:r>
        <w:rPr>
          <w:rFonts w:hint="eastAsia" w:ascii="黑体" w:hAnsi="黑体" w:eastAsia="黑体" w:cs="黑体"/>
          <w:b/>
          <w:sz w:val="36"/>
          <w:szCs w:val="36"/>
        </w:rPr>
        <w:t>六、投标人资格要求</w:t>
      </w:r>
    </w:p>
    <w:p>
      <w:pPr>
        <w:spacing w:line="24" w:lineRule="atLeast"/>
        <w:ind w:firstLine="560" w:firstLineChars="200"/>
        <w:rPr>
          <w:sz w:val="28"/>
          <w:szCs w:val="28"/>
        </w:rPr>
      </w:pPr>
      <w:r>
        <w:rPr>
          <w:rFonts w:hint="eastAsia"/>
          <w:sz w:val="28"/>
          <w:szCs w:val="28"/>
        </w:rPr>
        <w:t>6.1投标人资格要求：详见投标须知前附表。</w:t>
      </w:r>
    </w:p>
    <w:p>
      <w:pPr>
        <w:spacing w:line="24" w:lineRule="atLeast"/>
        <w:rPr>
          <w:sz w:val="28"/>
          <w:szCs w:val="28"/>
        </w:rPr>
      </w:pPr>
    </w:p>
    <w:p>
      <w:pPr>
        <w:spacing w:line="24" w:lineRule="atLeast"/>
        <w:rPr>
          <w:sz w:val="28"/>
          <w:szCs w:val="28"/>
        </w:rPr>
      </w:pPr>
      <w:r>
        <w:rPr>
          <w:rFonts w:hint="eastAsia" w:ascii="黑体" w:hAnsi="黑体" w:eastAsia="黑体" w:cs="黑体"/>
          <w:b/>
          <w:sz w:val="36"/>
          <w:szCs w:val="36"/>
        </w:rPr>
        <w:t>七、投标费用和投标保证金</w:t>
      </w:r>
    </w:p>
    <w:p>
      <w:pPr>
        <w:spacing w:line="24" w:lineRule="atLeast"/>
        <w:ind w:firstLine="560" w:firstLineChars="200"/>
        <w:rPr>
          <w:sz w:val="28"/>
          <w:szCs w:val="28"/>
        </w:rPr>
      </w:pPr>
      <w:r>
        <w:rPr>
          <w:rFonts w:hint="eastAsia"/>
          <w:sz w:val="28"/>
          <w:szCs w:val="28"/>
        </w:rPr>
        <w:t>7.1无论投标的结果如何，投标人将承担所有参加投标过程中所涉及的全部费用，招标人和招标代理机构在任何情况下均无责任和义务承担这些费用。</w:t>
      </w:r>
    </w:p>
    <w:p>
      <w:pPr>
        <w:spacing w:line="24" w:lineRule="atLeast"/>
        <w:ind w:firstLine="560" w:firstLineChars="200"/>
        <w:rPr>
          <w:sz w:val="28"/>
          <w:szCs w:val="28"/>
        </w:rPr>
      </w:pPr>
      <w:r>
        <w:rPr>
          <w:rFonts w:hint="eastAsia"/>
          <w:sz w:val="28"/>
          <w:szCs w:val="28"/>
        </w:rPr>
        <w:t>7.2投标人必须在投标须知前附表规定的时间前提交投标保证金，未提交投标保证金的投标人资格无效。</w:t>
      </w:r>
    </w:p>
    <w:p>
      <w:pPr>
        <w:spacing w:line="24" w:lineRule="atLeast"/>
        <w:ind w:firstLine="560" w:firstLineChars="200"/>
        <w:rPr>
          <w:sz w:val="28"/>
          <w:szCs w:val="28"/>
        </w:rPr>
      </w:pPr>
      <w:r>
        <w:rPr>
          <w:rFonts w:hint="eastAsia"/>
          <w:sz w:val="28"/>
          <w:szCs w:val="28"/>
        </w:rPr>
        <w:t>7.3投标保证金只可采用转账或电汇的方式提交。</w:t>
      </w:r>
    </w:p>
    <w:p>
      <w:pPr>
        <w:spacing w:line="24" w:lineRule="atLeast"/>
        <w:ind w:firstLine="560" w:firstLineChars="200"/>
        <w:rPr>
          <w:sz w:val="28"/>
          <w:szCs w:val="28"/>
        </w:rPr>
      </w:pPr>
      <w:r>
        <w:rPr>
          <w:rFonts w:hint="eastAsia"/>
          <w:sz w:val="28"/>
          <w:szCs w:val="28"/>
        </w:rPr>
        <w:t>7.4 未中标的投标人的投标保证金将在一周内退还（无息）。中标单位按要求提交履约保证金并签署合同协议后，将退还其投标保证金（无息）。</w:t>
      </w:r>
    </w:p>
    <w:p>
      <w:pPr>
        <w:spacing w:line="24" w:lineRule="atLeast"/>
        <w:ind w:firstLine="560" w:firstLineChars="200"/>
        <w:rPr>
          <w:sz w:val="28"/>
          <w:szCs w:val="28"/>
        </w:rPr>
      </w:pPr>
      <w:r>
        <w:rPr>
          <w:rFonts w:hint="eastAsia"/>
          <w:sz w:val="28"/>
          <w:szCs w:val="28"/>
        </w:rPr>
        <w:t>7.5 如投标人有下列情况之一的，其投标保证金不予退还。</w:t>
      </w:r>
    </w:p>
    <w:p>
      <w:pPr>
        <w:spacing w:line="24" w:lineRule="atLeast"/>
        <w:rPr>
          <w:sz w:val="28"/>
          <w:szCs w:val="28"/>
        </w:rPr>
      </w:pPr>
      <w:r>
        <w:rPr>
          <w:rFonts w:hint="eastAsia"/>
          <w:sz w:val="28"/>
          <w:szCs w:val="28"/>
        </w:rPr>
        <w:t xml:space="preserve">   （1）中标人未能在中标通知书规定的时间内递交合同履约担保或签署合同的；</w:t>
      </w:r>
    </w:p>
    <w:p>
      <w:pPr>
        <w:spacing w:line="24" w:lineRule="atLeast"/>
        <w:rPr>
          <w:sz w:val="28"/>
          <w:szCs w:val="28"/>
        </w:rPr>
      </w:pPr>
      <w:r>
        <w:rPr>
          <w:rFonts w:hint="eastAsia"/>
          <w:sz w:val="28"/>
          <w:szCs w:val="28"/>
        </w:rPr>
        <w:t xml:space="preserve">   （2）投标人在投标期间内有串标。弄虚作假等违法违规行为的。</w:t>
      </w:r>
    </w:p>
    <w:p>
      <w:pPr>
        <w:spacing w:line="24" w:lineRule="atLeast"/>
        <w:rPr>
          <w:sz w:val="28"/>
          <w:szCs w:val="28"/>
        </w:rPr>
      </w:pPr>
    </w:p>
    <w:p>
      <w:pPr>
        <w:spacing w:line="24" w:lineRule="atLeast"/>
        <w:rPr>
          <w:sz w:val="28"/>
          <w:szCs w:val="28"/>
        </w:rPr>
      </w:pPr>
      <w:r>
        <w:rPr>
          <w:rFonts w:hint="eastAsia" w:ascii="黑体" w:hAnsi="黑体" w:eastAsia="黑体" w:cs="黑体"/>
          <w:b/>
          <w:sz w:val="36"/>
          <w:szCs w:val="36"/>
        </w:rPr>
        <w:t>八、投标报价</w:t>
      </w:r>
    </w:p>
    <w:p>
      <w:pPr>
        <w:spacing w:line="24" w:lineRule="atLeast"/>
        <w:ind w:firstLine="280" w:firstLineChars="100"/>
        <w:rPr>
          <w:sz w:val="28"/>
          <w:szCs w:val="28"/>
        </w:rPr>
      </w:pPr>
      <w:r>
        <w:rPr>
          <w:rFonts w:hint="eastAsia"/>
          <w:sz w:val="28"/>
          <w:szCs w:val="28"/>
        </w:rPr>
        <w:t>8.1投标人应按招标文件中规定进行举牌报价。</w:t>
      </w:r>
    </w:p>
    <w:p>
      <w:pPr>
        <w:spacing w:line="24" w:lineRule="atLeast"/>
        <w:ind w:firstLine="280" w:firstLineChars="100"/>
        <w:rPr>
          <w:sz w:val="28"/>
          <w:szCs w:val="28"/>
        </w:rPr>
      </w:pPr>
      <w:r>
        <w:rPr>
          <w:rFonts w:hint="eastAsia"/>
          <w:sz w:val="28"/>
          <w:szCs w:val="28"/>
        </w:rPr>
        <w:t>8.2投标人应按承租总价进行报价。在合同有效期内，除本合同规定外，无论何种原因项目承租总价不予调整，为固定价格。投标人应考虑合同有效期内的一切风险因素。</w:t>
      </w:r>
    </w:p>
    <w:p>
      <w:pPr>
        <w:spacing w:line="24" w:lineRule="atLeast"/>
        <w:ind w:firstLine="560"/>
        <w:rPr>
          <w:sz w:val="28"/>
          <w:szCs w:val="28"/>
        </w:rPr>
      </w:pPr>
    </w:p>
    <w:p>
      <w:pPr>
        <w:spacing w:line="24" w:lineRule="atLeast"/>
        <w:rPr>
          <w:sz w:val="28"/>
          <w:szCs w:val="28"/>
        </w:rPr>
      </w:pPr>
      <w:r>
        <w:rPr>
          <w:rFonts w:hint="eastAsia" w:ascii="黑体" w:hAnsi="黑体" w:eastAsia="黑体" w:cs="黑体"/>
          <w:b/>
          <w:sz w:val="36"/>
          <w:szCs w:val="36"/>
        </w:rPr>
        <w:t>九、投标人的认可</w:t>
      </w:r>
    </w:p>
    <w:p>
      <w:pPr>
        <w:spacing w:line="24" w:lineRule="atLeast"/>
        <w:ind w:firstLine="280" w:firstLineChars="100"/>
        <w:rPr>
          <w:sz w:val="28"/>
          <w:szCs w:val="28"/>
        </w:rPr>
      </w:pPr>
      <w:r>
        <w:rPr>
          <w:rFonts w:hint="eastAsia"/>
          <w:sz w:val="28"/>
          <w:szCs w:val="28"/>
        </w:rPr>
        <w:t>9.1 投标人应充分理解招标文件的全部内容，一经参加即表明投标人已经仔细调查和了解与标的有关的一切情况。</w:t>
      </w:r>
    </w:p>
    <w:p>
      <w:pPr>
        <w:spacing w:line="24" w:lineRule="atLeast"/>
        <w:ind w:firstLine="280" w:firstLineChars="100"/>
        <w:rPr>
          <w:sz w:val="28"/>
          <w:szCs w:val="28"/>
        </w:rPr>
      </w:pPr>
      <w:r>
        <w:rPr>
          <w:rFonts w:hint="eastAsia"/>
          <w:sz w:val="28"/>
          <w:szCs w:val="28"/>
        </w:rPr>
        <w:t>9.2投标人确认的举牌报价具有法律效力。与招标人的任何个人的口头协议均不能影响招标文件的任何条款和内容。</w:t>
      </w:r>
    </w:p>
    <w:p>
      <w:pPr>
        <w:spacing w:line="24" w:lineRule="atLeast"/>
        <w:rPr>
          <w:sz w:val="28"/>
          <w:szCs w:val="28"/>
        </w:rPr>
      </w:pPr>
    </w:p>
    <w:p>
      <w:pPr>
        <w:spacing w:line="24" w:lineRule="atLeast"/>
        <w:rPr>
          <w:rFonts w:ascii="黑体" w:hAnsi="黑体" w:eastAsia="黑体" w:cs="黑体"/>
          <w:sz w:val="36"/>
          <w:szCs w:val="36"/>
        </w:rPr>
      </w:pPr>
      <w:r>
        <w:rPr>
          <w:rFonts w:hint="eastAsia" w:ascii="黑体" w:hAnsi="黑体" w:eastAsia="黑体" w:cs="黑体"/>
          <w:b/>
          <w:sz w:val="36"/>
          <w:szCs w:val="36"/>
        </w:rPr>
        <w:t>十、招标文件的补充和通知</w:t>
      </w:r>
    </w:p>
    <w:p>
      <w:pPr>
        <w:spacing w:line="24" w:lineRule="atLeast"/>
        <w:ind w:firstLine="280" w:firstLineChars="100"/>
        <w:rPr>
          <w:sz w:val="28"/>
          <w:szCs w:val="28"/>
        </w:rPr>
      </w:pPr>
      <w:r>
        <w:rPr>
          <w:rFonts w:hint="eastAsia"/>
          <w:sz w:val="28"/>
          <w:szCs w:val="28"/>
        </w:rPr>
        <w:t>10.1招标期间，招标人为了澄清或修改招标文件中的相应内容发出的全部补充通知，均为招标文件的组成部分。</w:t>
      </w:r>
    </w:p>
    <w:p>
      <w:pPr>
        <w:spacing w:line="24" w:lineRule="atLeast"/>
        <w:rPr>
          <w:sz w:val="28"/>
          <w:szCs w:val="28"/>
        </w:rPr>
      </w:pPr>
    </w:p>
    <w:p>
      <w:pPr>
        <w:spacing w:line="24" w:lineRule="atLeast"/>
        <w:rPr>
          <w:rFonts w:ascii="宋体" w:hAnsi="宋体"/>
          <w:b/>
          <w:sz w:val="44"/>
          <w:szCs w:val="44"/>
        </w:rPr>
      </w:pPr>
      <w:r>
        <w:rPr>
          <w:rFonts w:hint="eastAsia" w:ascii="黑体" w:hAnsi="黑体" w:eastAsia="黑体" w:cs="黑体"/>
          <w:b/>
          <w:sz w:val="36"/>
          <w:szCs w:val="36"/>
        </w:rPr>
        <w:t>十一、投标人的建议资料</w:t>
      </w:r>
    </w:p>
    <w:p>
      <w:pPr>
        <w:spacing w:line="24" w:lineRule="atLeast"/>
        <w:ind w:firstLine="280" w:firstLineChars="100"/>
        <w:rPr>
          <w:sz w:val="28"/>
          <w:szCs w:val="28"/>
        </w:rPr>
      </w:pPr>
      <w:r>
        <w:rPr>
          <w:rFonts w:hint="eastAsia" w:ascii="宋体" w:hAnsi="宋体"/>
          <w:bCs/>
          <w:sz w:val="28"/>
          <w:szCs w:val="28"/>
        </w:rPr>
        <w:t>11.1招标人不接受建议资料。</w:t>
      </w:r>
      <w:r>
        <w:rPr>
          <w:rFonts w:hint="eastAsia"/>
          <w:sz w:val="28"/>
          <w:szCs w:val="28"/>
        </w:rPr>
        <w:t xml:space="preserve">   </w:t>
      </w:r>
    </w:p>
    <w:p>
      <w:pPr>
        <w:spacing w:line="24" w:lineRule="atLeast"/>
        <w:rPr>
          <w:sz w:val="28"/>
          <w:szCs w:val="28"/>
        </w:rPr>
      </w:pPr>
    </w:p>
    <w:p>
      <w:pPr>
        <w:spacing w:line="24" w:lineRule="atLeast"/>
        <w:rPr>
          <w:rFonts w:ascii="宋体" w:hAnsi="宋体"/>
          <w:b/>
          <w:sz w:val="44"/>
          <w:szCs w:val="44"/>
        </w:rPr>
      </w:pPr>
      <w:r>
        <w:rPr>
          <w:rFonts w:hint="eastAsia" w:ascii="黑体" w:hAnsi="黑体" w:eastAsia="黑体" w:cs="黑体"/>
          <w:b/>
          <w:sz w:val="36"/>
          <w:szCs w:val="36"/>
        </w:rPr>
        <w:t>十二、开标、评标及中标</w:t>
      </w:r>
    </w:p>
    <w:p>
      <w:pPr>
        <w:spacing w:line="24" w:lineRule="atLeast"/>
        <w:ind w:firstLine="560" w:firstLineChars="200"/>
        <w:rPr>
          <w:sz w:val="28"/>
          <w:szCs w:val="28"/>
        </w:rPr>
      </w:pPr>
      <w:r>
        <w:rPr>
          <w:rFonts w:hint="eastAsia"/>
          <w:sz w:val="28"/>
          <w:szCs w:val="28"/>
        </w:rPr>
        <w:t>12.1 开标</w:t>
      </w:r>
    </w:p>
    <w:p>
      <w:pPr>
        <w:spacing w:line="24" w:lineRule="atLeast"/>
        <w:rPr>
          <w:sz w:val="28"/>
          <w:szCs w:val="28"/>
        </w:rPr>
      </w:pPr>
      <w:r>
        <w:rPr>
          <w:rFonts w:hint="eastAsia"/>
          <w:sz w:val="28"/>
          <w:szCs w:val="28"/>
        </w:rPr>
        <w:t xml:space="preserve">    12.1.1 招标代理机构将于投标须知前附表规定的时间、地点进行公开开标。开标仪式由招标代理机构主持，届时将邀请招标人、投标申请人参加。</w:t>
      </w:r>
    </w:p>
    <w:p>
      <w:pPr>
        <w:spacing w:line="24" w:lineRule="atLeast"/>
        <w:ind w:firstLine="560" w:firstLineChars="200"/>
        <w:rPr>
          <w:sz w:val="28"/>
          <w:szCs w:val="28"/>
        </w:rPr>
      </w:pPr>
      <w:r>
        <w:rPr>
          <w:rFonts w:hint="eastAsia"/>
          <w:sz w:val="28"/>
          <w:szCs w:val="28"/>
        </w:rPr>
        <w:t>12.1.2 投标人应持本人身份证和汇款凭证参加开标会议，并签名报到。按签名报到的顺序领取属于自己的号码牌，开标前验明投标人的证明原件。</w:t>
      </w:r>
    </w:p>
    <w:p>
      <w:pPr>
        <w:spacing w:line="24" w:lineRule="atLeast"/>
        <w:rPr>
          <w:sz w:val="28"/>
          <w:szCs w:val="28"/>
        </w:rPr>
      </w:pPr>
      <w:r>
        <w:rPr>
          <w:rFonts w:hint="eastAsia"/>
          <w:sz w:val="28"/>
          <w:szCs w:val="28"/>
        </w:rPr>
        <w:t xml:space="preserve">    12.1.3 开标前检查各投标人的身份信息，确认无误后开始开标。</w:t>
      </w:r>
    </w:p>
    <w:p>
      <w:pPr>
        <w:spacing w:line="24" w:lineRule="atLeast"/>
        <w:ind w:firstLine="280" w:firstLineChars="100"/>
        <w:rPr>
          <w:sz w:val="28"/>
          <w:szCs w:val="28"/>
        </w:rPr>
      </w:pPr>
      <w:r>
        <w:rPr>
          <w:rFonts w:hint="eastAsia"/>
          <w:sz w:val="28"/>
          <w:szCs w:val="28"/>
        </w:rPr>
        <w:t xml:space="preserve">  12.1.4 招标人宣布开标会议开始，投标人开始举牌，首次举牌最低价为该项目的最低限价62万元/年，每次加价在上一个举牌价的基础上至少增加20000元/年，加价少于20000元/年的举牌无效。</w:t>
      </w:r>
    </w:p>
    <w:p>
      <w:pPr>
        <w:spacing w:line="24" w:lineRule="atLeast"/>
        <w:ind w:firstLine="560" w:firstLineChars="200"/>
        <w:rPr>
          <w:sz w:val="28"/>
          <w:szCs w:val="28"/>
        </w:rPr>
      </w:pPr>
      <w:r>
        <w:rPr>
          <w:rFonts w:hint="eastAsia"/>
          <w:sz w:val="28"/>
          <w:szCs w:val="28"/>
        </w:rPr>
        <w:t>12.1.5招标人对中标人的选择：最高举牌价中标。</w:t>
      </w:r>
    </w:p>
    <w:p>
      <w:pPr>
        <w:spacing w:line="24" w:lineRule="atLeast"/>
        <w:ind w:firstLine="560" w:firstLineChars="200"/>
        <w:rPr>
          <w:sz w:val="28"/>
          <w:szCs w:val="28"/>
        </w:rPr>
      </w:pPr>
      <w:r>
        <w:rPr>
          <w:rFonts w:hint="eastAsia"/>
          <w:sz w:val="28"/>
          <w:szCs w:val="28"/>
        </w:rPr>
        <w:t>12.2 中标条件</w:t>
      </w:r>
    </w:p>
    <w:p>
      <w:pPr>
        <w:spacing w:line="24" w:lineRule="atLeast"/>
        <w:ind w:firstLine="560" w:firstLineChars="200"/>
        <w:rPr>
          <w:sz w:val="28"/>
          <w:szCs w:val="28"/>
        </w:rPr>
      </w:pPr>
      <w:r>
        <w:rPr>
          <w:rFonts w:hint="eastAsia"/>
          <w:sz w:val="28"/>
          <w:szCs w:val="28"/>
        </w:rPr>
        <w:t>12.2.1中标人放弃中标，因不可抗力提出不能履行合同，不按照招标文件要求提交履约保证金，或者被查实存在影响中标结果的违法行为等情形，不符合中标条件的，则招标人将重新组织招标。</w:t>
      </w:r>
    </w:p>
    <w:p>
      <w:pPr>
        <w:spacing w:line="24" w:lineRule="atLeast"/>
        <w:ind w:firstLine="560" w:firstLineChars="200"/>
        <w:rPr>
          <w:sz w:val="28"/>
          <w:szCs w:val="28"/>
        </w:rPr>
      </w:pPr>
      <w:r>
        <w:rPr>
          <w:rFonts w:hint="eastAsia"/>
          <w:sz w:val="28"/>
          <w:szCs w:val="28"/>
        </w:rPr>
        <w:t>12.3投标纪律</w:t>
      </w:r>
    </w:p>
    <w:p>
      <w:pPr>
        <w:spacing w:line="24" w:lineRule="atLeast"/>
        <w:ind w:firstLine="560" w:firstLineChars="200"/>
        <w:rPr>
          <w:sz w:val="28"/>
          <w:szCs w:val="28"/>
        </w:rPr>
      </w:pPr>
      <w:r>
        <w:rPr>
          <w:rFonts w:hint="eastAsia"/>
          <w:sz w:val="28"/>
          <w:szCs w:val="28"/>
        </w:rPr>
        <w:t>12.3.1 在投标期间，投标人企图影响招标人的任何活动，将导致投标被拒绝，并没收其投标保证金。</w:t>
      </w:r>
    </w:p>
    <w:p>
      <w:pPr>
        <w:spacing w:line="24" w:lineRule="atLeast"/>
        <w:ind w:firstLine="560" w:firstLineChars="200"/>
        <w:rPr>
          <w:rFonts w:ascii="黑体" w:hAnsi="黑体" w:eastAsia="黑体" w:cs="黑体"/>
          <w:b/>
          <w:sz w:val="36"/>
          <w:szCs w:val="36"/>
        </w:rPr>
      </w:pPr>
      <w:r>
        <w:rPr>
          <w:rFonts w:hint="eastAsia"/>
          <w:sz w:val="28"/>
          <w:szCs w:val="28"/>
        </w:rPr>
        <w:t>12.3.2 投标人不得串标围标。投标人和招标人不得相互勾结，以排挤其他投标人的公平竞争。任何单位和个人在投标活动中，不准以任何方式行贿受贿。</w:t>
      </w:r>
    </w:p>
    <w:p>
      <w:pPr>
        <w:spacing w:line="24" w:lineRule="atLeast"/>
        <w:rPr>
          <w:sz w:val="28"/>
          <w:szCs w:val="28"/>
        </w:rPr>
      </w:pPr>
      <w:r>
        <w:rPr>
          <w:rFonts w:hint="eastAsia" w:ascii="黑体" w:hAnsi="黑体" w:eastAsia="黑体" w:cs="黑体"/>
          <w:b/>
          <w:sz w:val="36"/>
          <w:szCs w:val="36"/>
        </w:rPr>
        <w:t>十三、履约保证金</w:t>
      </w:r>
    </w:p>
    <w:p>
      <w:pPr>
        <w:spacing w:line="24" w:lineRule="atLeast"/>
        <w:ind w:firstLine="560" w:firstLineChars="200"/>
        <w:rPr>
          <w:sz w:val="28"/>
          <w:szCs w:val="28"/>
        </w:rPr>
      </w:pPr>
      <w:r>
        <w:rPr>
          <w:rFonts w:hint="eastAsia"/>
          <w:sz w:val="28"/>
          <w:szCs w:val="28"/>
        </w:rPr>
        <w:t>13.1中标人的履约保证金：</w:t>
      </w:r>
      <w:r>
        <w:rPr>
          <w:rFonts w:hint="eastAsia"/>
          <w:sz w:val="28"/>
          <w:szCs w:val="28"/>
          <w:u w:val="single"/>
        </w:rPr>
        <w:t>叁拾万元</w:t>
      </w:r>
      <w:r>
        <w:rPr>
          <w:rFonts w:hint="eastAsia"/>
          <w:sz w:val="28"/>
          <w:szCs w:val="28"/>
        </w:rPr>
        <w:t xml:space="preserve"> 。</w:t>
      </w:r>
    </w:p>
    <w:p>
      <w:pPr>
        <w:spacing w:line="24" w:lineRule="atLeast"/>
        <w:ind w:firstLine="560" w:firstLineChars="200"/>
        <w:rPr>
          <w:sz w:val="28"/>
          <w:szCs w:val="28"/>
        </w:rPr>
      </w:pPr>
      <w:r>
        <w:rPr>
          <w:rFonts w:hint="eastAsia"/>
          <w:sz w:val="28"/>
          <w:szCs w:val="28"/>
        </w:rPr>
        <w:t>13.2中标人如未按上述规定提供履约保证金，则招标人有充分理由取消其中标资格，其投标保证金不予返还。</w:t>
      </w:r>
    </w:p>
    <w:p>
      <w:pPr>
        <w:spacing w:line="24" w:lineRule="atLeast"/>
        <w:rPr>
          <w:sz w:val="28"/>
          <w:szCs w:val="28"/>
        </w:rPr>
      </w:pPr>
      <w:r>
        <w:rPr>
          <w:rFonts w:hint="eastAsia" w:ascii="黑体" w:hAnsi="黑体" w:eastAsia="黑体" w:cs="黑体"/>
          <w:b/>
          <w:sz w:val="36"/>
          <w:szCs w:val="36"/>
        </w:rPr>
        <w:t>十四、合同的授予</w:t>
      </w:r>
    </w:p>
    <w:p>
      <w:pPr>
        <w:spacing w:line="24" w:lineRule="atLeast"/>
        <w:ind w:firstLine="560" w:firstLineChars="200"/>
        <w:rPr>
          <w:sz w:val="28"/>
          <w:szCs w:val="28"/>
        </w:rPr>
      </w:pPr>
      <w:r>
        <w:rPr>
          <w:rFonts w:hint="eastAsia"/>
          <w:sz w:val="28"/>
          <w:szCs w:val="28"/>
        </w:rPr>
        <w:t>14.1招标人将合同授予其在实质上响应招标文件要求和本须知第十三条规定评出的投标人。</w:t>
      </w:r>
    </w:p>
    <w:p>
      <w:pPr>
        <w:spacing w:line="24" w:lineRule="atLeast"/>
        <w:ind w:firstLine="560" w:firstLineChars="200"/>
        <w:rPr>
          <w:sz w:val="28"/>
          <w:szCs w:val="28"/>
        </w:rPr>
      </w:pPr>
      <w:r>
        <w:rPr>
          <w:rFonts w:hint="eastAsia"/>
          <w:sz w:val="28"/>
          <w:szCs w:val="28"/>
        </w:rPr>
        <w:t>14.2中标通知书</w:t>
      </w:r>
    </w:p>
    <w:p>
      <w:pPr>
        <w:spacing w:line="24" w:lineRule="atLeast"/>
        <w:ind w:firstLine="560" w:firstLineChars="200"/>
        <w:rPr>
          <w:sz w:val="28"/>
          <w:szCs w:val="28"/>
        </w:rPr>
      </w:pPr>
      <w:r>
        <w:rPr>
          <w:rFonts w:hint="eastAsia"/>
          <w:sz w:val="28"/>
          <w:szCs w:val="28"/>
        </w:rPr>
        <w:t>14.2.1招标人根据评标结果，对中标候选人进行公示。</w:t>
      </w:r>
    </w:p>
    <w:p>
      <w:pPr>
        <w:spacing w:line="24" w:lineRule="atLeast"/>
        <w:ind w:firstLine="560" w:firstLineChars="200"/>
        <w:rPr>
          <w:sz w:val="28"/>
          <w:szCs w:val="28"/>
        </w:rPr>
      </w:pPr>
      <w:r>
        <w:rPr>
          <w:rFonts w:hint="eastAsia"/>
          <w:sz w:val="28"/>
          <w:szCs w:val="28"/>
        </w:rPr>
        <w:t>14.2.2招标人将在公示合格后，3天内向中标人发出中标通知书，并向未中标的投标人通知中标结果。</w:t>
      </w:r>
    </w:p>
    <w:p>
      <w:pPr>
        <w:spacing w:line="24" w:lineRule="atLeast"/>
        <w:ind w:firstLine="560" w:firstLineChars="200"/>
        <w:rPr>
          <w:sz w:val="28"/>
          <w:szCs w:val="28"/>
        </w:rPr>
      </w:pPr>
      <w:r>
        <w:rPr>
          <w:rFonts w:hint="eastAsia"/>
          <w:sz w:val="28"/>
          <w:szCs w:val="28"/>
        </w:rPr>
        <w:t>14.2.3中标通知书将成为合同的组成部分。</w:t>
      </w:r>
    </w:p>
    <w:p>
      <w:pPr>
        <w:spacing w:line="24" w:lineRule="atLeast"/>
        <w:ind w:firstLine="560" w:firstLineChars="200"/>
        <w:rPr>
          <w:sz w:val="28"/>
          <w:szCs w:val="28"/>
        </w:rPr>
      </w:pPr>
      <w:r>
        <w:rPr>
          <w:rFonts w:hint="eastAsia"/>
          <w:sz w:val="28"/>
          <w:szCs w:val="28"/>
        </w:rPr>
        <w:t>14.3合同的签订</w:t>
      </w:r>
    </w:p>
    <w:p>
      <w:pPr>
        <w:spacing w:line="24" w:lineRule="atLeast"/>
        <w:ind w:firstLine="560"/>
        <w:rPr>
          <w:sz w:val="28"/>
          <w:szCs w:val="28"/>
        </w:rPr>
      </w:pPr>
      <w:r>
        <w:rPr>
          <w:rFonts w:hint="eastAsia"/>
          <w:sz w:val="28"/>
          <w:szCs w:val="28"/>
        </w:rPr>
        <w:t>14.3.1招标人与中标人依据招标文件与中标人签订合同。</w:t>
      </w:r>
    </w:p>
    <w:p>
      <w:pPr>
        <w:spacing w:line="24" w:lineRule="atLeast"/>
        <w:ind w:firstLine="560"/>
        <w:rPr>
          <w:rFonts w:ascii="宋体" w:hAnsi="宋体" w:cs="宋体"/>
          <w:sz w:val="28"/>
          <w:szCs w:val="28"/>
          <w:shd w:val="clear" w:color="auto" w:fill="FFFFFF"/>
        </w:rPr>
      </w:pPr>
      <w:r>
        <w:rPr>
          <w:rFonts w:hint="eastAsia"/>
          <w:sz w:val="28"/>
          <w:szCs w:val="28"/>
        </w:rPr>
        <w:t>14.3.2中标人在收到中标通知书后7日内足额缴纳履约保证金后，招标人与中标人根据招标文件签订书面合同。 租金一年一度，先付后用，第一次租金支付时间：为合同签订一个月内付清，之后每年租金提前一个月付清一年租金。</w:t>
      </w:r>
      <w:r>
        <w:rPr>
          <w:rFonts w:hint="eastAsia" w:ascii="宋体" w:hAnsi="宋体" w:cs="宋体"/>
          <w:sz w:val="28"/>
          <w:szCs w:val="28"/>
          <w:shd w:val="clear" w:color="auto" w:fill="FFFFFF"/>
        </w:rPr>
        <w:t>如未在截止日期前缴清本年度租金的，招标人方有权解除合同并没收履约保证金，由此造成的损失由中标人自己承担。</w:t>
      </w:r>
    </w:p>
    <w:p>
      <w:pPr>
        <w:spacing w:line="24" w:lineRule="atLeast"/>
        <w:ind w:firstLine="560"/>
        <w:rPr>
          <w:sz w:val="28"/>
          <w:szCs w:val="28"/>
        </w:rPr>
      </w:pPr>
      <w:r>
        <w:rPr>
          <w:rFonts w:hint="eastAsia"/>
          <w:sz w:val="28"/>
          <w:szCs w:val="28"/>
        </w:rPr>
        <w:t>14.3.3招标人在发出中标通知书后拒绝与中标人签订合同，除返还投标保证金外还赔偿由此造成中标人的有关损失。</w:t>
      </w:r>
    </w:p>
    <w:p>
      <w:pPr>
        <w:spacing w:line="24" w:lineRule="atLeast"/>
        <w:ind w:firstLine="560"/>
        <w:rPr>
          <w:sz w:val="28"/>
          <w:szCs w:val="28"/>
        </w:rPr>
      </w:pPr>
      <w:r>
        <w:rPr>
          <w:rFonts w:hint="eastAsia"/>
          <w:sz w:val="28"/>
          <w:szCs w:val="28"/>
        </w:rPr>
        <w:t>14.3.4中标人拒绝在规定的时间签订合同，招标人将取消其中标资格，其投标保证金不予退还，且赔偿由此造成的招标人的有关损失，同时依法承担相应法律责任。</w:t>
      </w:r>
    </w:p>
    <w:p>
      <w:pPr>
        <w:spacing w:line="24" w:lineRule="atLeast"/>
        <w:ind w:firstLine="560"/>
        <w:rPr>
          <w:sz w:val="28"/>
          <w:szCs w:val="28"/>
        </w:rPr>
      </w:pPr>
    </w:p>
    <w:p>
      <w:pPr>
        <w:spacing w:line="24" w:lineRule="atLeast"/>
        <w:ind w:firstLine="560"/>
        <w:rPr>
          <w:sz w:val="28"/>
          <w:szCs w:val="28"/>
        </w:rPr>
      </w:pPr>
    </w:p>
    <w:p>
      <w:pPr>
        <w:autoSpaceDE w:val="0"/>
        <w:autoSpaceDN w:val="0"/>
        <w:adjustRightInd w:val="0"/>
        <w:spacing w:line="24" w:lineRule="atLeast"/>
        <w:jc w:val="center"/>
        <w:rPr>
          <w:rFonts w:ascii="宋体" w:hAnsi="宋体" w:cs="宋体"/>
          <w:b/>
          <w:bCs/>
          <w:sz w:val="36"/>
          <w:szCs w:val="36"/>
          <w:shd w:val="clear" w:color="auto" w:fill="FFFFFF"/>
        </w:rPr>
      </w:pPr>
      <w:bookmarkStart w:id="0" w:name="_Toc103956897"/>
      <w:bookmarkStart w:id="1" w:name="_Toc201383232"/>
      <w:r>
        <w:rPr>
          <w:rFonts w:hint="eastAsia" w:ascii="宋体" w:hAnsi="宋体" w:cs="宋体"/>
          <w:b/>
          <w:bCs/>
          <w:sz w:val="36"/>
          <w:szCs w:val="36"/>
          <w:shd w:val="clear" w:color="auto" w:fill="FFFFFF"/>
        </w:rPr>
        <w:t>第二章  合同书格式</w:t>
      </w:r>
    </w:p>
    <w:bookmarkEnd w:id="0"/>
    <w:bookmarkEnd w:id="1"/>
    <w:p>
      <w:pPr>
        <w:spacing w:line="24" w:lineRule="atLeast"/>
        <w:jc w:val="center"/>
        <w:rPr>
          <w:sz w:val="44"/>
          <w:szCs w:val="44"/>
        </w:rPr>
      </w:pPr>
      <w:r>
        <w:rPr>
          <w:rFonts w:hint="eastAsia" w:ascii="宋体" w:hAnsi="宋体" w:cs="宋体"/>
          <w:sz w:val="36"/>
          <w:szCs w:val="36"/>
          <w:u w:val="single"/>
        </w:rPr>
        <w:t>台州横峰国际鞋材城部分商用面积整体承包</w:t>
      </w:r>
    </w:p>
    <w:p>
      <w:pPr>
        <w:spacing w:line="24" w:lineRule="atLeast"/>
        <w:rPr>
          <w:sz w:val="28"/>
          <w:szCs w:val="28"/>
        </w:rPr>
      </w:pPr>
      <w:r>
        <w:rPr>
          <w:rFonts w:hint="eastAsia"/>
          <w:sz w:val="28"/>
          <w:szCs w:val="28"/>
        </w:rPr>
        <w:t>出租方：台州横峰国际鞋材城股份有限公司（以下简称甲方）</w:t>
      </w:r>
    </w:p>
    <w:p>
      <w:pPr>
        <w:spacing w:line="24" w:lineRule="atLeast"/>
        <w:rPr>
          <w:sz w:val="28"/>
          <w:szCs w:val="28"/>
        </w:rPr>
      </w:pPr>
      <w:r>
        <w:rPr>
          <w:rFonts w:hint="eastAsia"/>
          <w:sz w:val="28"/>
          <w:szCs w:val="28"/>
        </w:rPr>
        <w:t>承租方：                              （以下简称乙方）</w:t>
      </w:r>
    </w:p>
    <w:p>
      <w:pPr>
        <w:numPr>
          <w:ilvl w:val="0"/>
          <w:numId w:val="5"/>
        </w:numPr>
        <w:spacing w:line="24" w:lineRule="atLeast"/>
        <w:ind w:firstLine="560" w:firstLineChars="200"/>
        <w:rPr>
          <w:sz w:val="28"/>
          <w:szCs w:val="28"/>
        </w:rPr>
      </w:pPr>
      <w:r>
        <w:rPr>
          <w:rFonts w:hint="eastAsia"/>
          <w:sz w:val="28"/>
          <w:szCs w:val="28"/>
        </w:rPr>
        <w:t xml:space="preserve">乙双方根据中华人民共和国《民法典》及其他法律法规相关规定，在平等互利、真实自愿的原则下，经友好协商，属于甲方的台州横峰国际鞋材城商铺的租赁签订本租赁合同以期双方共同遵守。 </w:t>
      </w:r>
    </w:p>
    <w:p>
      <w:pPr>
        <w:numPr>
          <w:ilvl w:val="0"/>
          <w:numId w:val="6"/>
        </w:numPr>
        <w:spacing w:line="24" w:lineRule="atLeast"/>
        <w:rPr>
          <w:sz w:val="28"/>
          <w:szCs w:val="28"/>
        </w:rPr>
      </w:pPr>
      <w:r>
        <w:rPr>
          <w:rFonts w:hint="eastAsia"/>
          <w:sz w:val="28"/>
          <w:szCs w:val="28"/>
        </w:rPr>
        <w:t xml:space="preserve">  租赁范围</w:t>
      </w:r>
    </w:p>
    <w:p>
      <w:pPr>
        <w:numPr>
          <w:ilvl w:val="0"/>
          <w:numId w:val="7"/>
        </w:numPr>
        <w:spacing w:line="24" w:lineRule="atLeast"/>
        <w:rPr>
          <w:sz w:val="28"/>
          <w:szCs w:val="28"/>
        </w:rPr>
      </w:pPr>
      <w:r>
        <w:rPr>
          <w:rFonts w:hint="eastAsia"/>
          <w:sz w:val="28"/>
          <w:szCs w:val="28"/>
        </w:rPr>
        <w:t>台州横峰国际鞋材城位于：浙江省温岭市横峰街道长汇路8号101室。</w:t>
      </w:r>
    </w:p>
    <w:p>
      <w:pPr>
        <w:numPr>
          <w:ilvl w:val="0"/>
          <w:numId w:val="7"/>
        </w:numPr>
        <w:spacing w:line="24" w:lineRule="atLeast"/>
        <w:rPr>
          <w:sz w:val="28"/>
          <w:szCs w:val="28"/>
        </w:rPr>
      </w:pPr>
      <w:r>
        <w:rPr>
          <w:rFonts w:hint="eastAsia"/>
          <w:sz w:val="28"/>
          <w:szCs w:val="28"/>
        </w:rPr>
        <w:t>甲方租赁给乙方的商铺位于一号楼二楼新空出来的3217平米的空间（以下简称承租商铺）。</w:t>
      </w:r>
    </w:p>
    <w:p>
      <w:pPr>
        <w:numPr>
          <w:ilvl w:val="0"/>
          <w:numId w:val="7"/>
        </w:numPr>
        <w:spacing w:line="24" w:lineRule="atLeast"/>
        <w:rPr>
          <w:sz w:val="28"/>
          <w:szCs w:val="28"/>
          <w:u w:val="single"/>
        </w:rPr>
      </w:pPr>
      <w:r>
        <w:rPr>
          <w:rFonts w:hint="eastAsia"/>
          <w:sz w:val="28"/>
          <w:szCs w:val="28"/>
        </w:rPr>
        <w:t>承租商铺经营范围及途：</w:t>
      </w:r>
      <w:r>
        <w:rPr>
          <w:rFonts w:hint="eastAsia"/>
          <w:sz w:val="28"/>
          <w:szCs w:val="28"/>
          <w:u w:val="single"/>
        </w:rPr>
        <w:t>鞋材市场优先考虑，可延展为鞋类相关产品市场。若确需改变，可经营其他附合国家法律法规的其他项目。如需审批等一切手续及问题均由承包人负责与公司无关。但退出时，必须空调正常，消防附合国家要求可正常经营。如有问题，按实际恢复费用由承包人赔偿。</w:t>
      </w:r>
    </w:p>
    <w:p>
      <w:pPr>
        <w:numPr>
          <w:ilvl w:val="0"/>
          <w:numId w:val="6"/>
        </w:numPr>
        <w:spacing w:line="24" w:lineRule="atLeast"/>
        <w:rPr>
          <w:sz w:val="28"/>
          <w:szCs w:val="28"/>
        </w:rPr>
      </w:pPr>
      <w:r>
        <w:rPr>
          <w:rFonts w:hint="eastAsia"/>
          <w:sz w:val="28"/>
          <w:szCs w:val="28"/>
        </w:rPr>
        <w:t xml:space="preserve">  租赁期限</w:t>
      </w:r>
    </w:p>
    <w:p>
      <w:pPr>
        <w:spacing w:line="24" w:lineRule="atLeast"/>
        <w:ind w:firstLine="560" w:firstLineChars="200"/>
        <w:rPr>
          <w:sz w:val="28"/>
          <w:szCs w:val="28"/>
          <w:u w:val="single"/>
        </w:rPr>
      </w:pPr>
      <w:r>
        <w:rPr>
          <w:rFonts w:hint="eastAsia"/>
          <w:sz w:val="28"/>
          <w:szCs w:val="28"/>
        </w:rPr>
        <w:t>本《租赁合同》租赁期限为</w:t>
      </w:r>
      <w:r>
        <w:rPr>
          <w:rFonts w:hint="eastAsia"/>
          <w:sz w:val="28"/>
          <w:szCs w:val="28"/>
          <w:u w:val="single"/>
        </w:rPr>
        <w:t xml:space="preserve"> 九 </w:t>
      </w:r>
      <w:r>
        <w:rPr>
          <w:rFonts w:hint="eastAsia"/>
          <w:sz w:val="28"/>
          <w:szCs w:val="28"/>
        </w:rPr>
        <w:t>年，自</w:t>
      </w:r>
      <w:r>
        <w:rPr>
          <w:rFonts w:hint="eastAsia"/>
          <w:sz w:val="28"/>
          <w:szCs w:val="28"/>
          <w:u w:val="single"/>
        </w:rPr>
        <w:t xml:space="preserve">    年 月  日起</w:t>
      </w:r>
    </w:p>
    <w:p>
      <w:pPr>
        <w:spacing w:line="24" w:lineRule="atLeast"/>
        <w:ind w:firstLine="560" w:firstLineChars="200"/>
        <w:rPr>
          <w:sz w:val="28"/>
          <w:szCs w:val="28"/>
          <w:u w:val="single"/>
        </w:rPr>
      </w:pPr>
      <w:r>
        <w:rPr>
          <w:rFonts w:hint="eastAsia"/>
          <w:sz w:val="28"/>
          <w:szCs w:val="28"/>
          <w:u w:val="single"/>
        </w:rPr>
        <w:t>至     年    月    日止。</w:t>
      </w:r>
    </w:p>
    <w:p>
      <w:pPr>
        <w:spacing w:line="24" w:lineRule="atLeast"/>
        <w:ind w:left="420"/>
        <w:rPr>
          <w:sz w:val="28"/>
          <w:szCs w:val="28"/>
        </w:rPr>
      </w:pPr>
      <w:r>
        <w:rPr>
          <w:rFonts w:hint="eastAsia"/>
          <w:sz w:val="28"/>
          <w:szCs w:val="28"/>
        </w:rPr>
        <w:t>第三条   租赁费用、支付细则等相关费用</w:t>
      </w:r>
    </w:p>
    <w:p>
      <w:pPr>
        <w:spacing w:line="24" w:lineRule="atLeast"/>
        <w:ind w:firstLine="560" w:firstLineChars="200"/>
        <w:rPr>
          <w:sz w:val="28"/>
          <w:szCs w:val="28"/>
        </w:rPr>
      </w:pPr>
      <w:r>
        <w:rPr>
          <w:rFonts w:hint="eastAsia"/>
          <w:sz w:val="28"/>
          <w:szCs w:val="28"/>
        </w:rPr>
        <w:t>1.租金一年一度，先付后用，第一次租金支付时间：为合同签订一个月内付清，之后每年租金提前一个月付清一年租金。</w:t>
      </w:r>
    </w:p>
    <w:p>
      <w:pPr>
        <w:spacing w:line="24" w:lineRule="atLeast"/>
        <w:ind w:firstLine="560" w:firstLineChars="200"/>
        <w:rPr>
          <w:sz w:val="28"/>
          <w:szCs w:val="28"/>
        </w:rPr>
      </w:pPr>
      <w:r>
        <w:rPr>
          <w:rFonts w:hint="eastAsia"/>
          <w:sz w:val="28"/>
          <w:szCs w:val="28"/>
        </w:rPr>
        <w:t>2. 场地收取物业费为1.5元/平方/月。</w:t>
      </w:r>
    </w:p>
    <w:p>
      <w:pPr>
        <w:spacing w:line="24" w:lineRule="atLeast"/>
        <w:ind w:firstLine="560" w:firstLineChars="200"/>
        <w:rPr>
          <w:sz w:val="28"/>
          <w:szCs w:val="28"/>
        </w:rPr>
      </w:pPr>
      <w:r>
        <w:rPr>
          <w:rFonts w:hint="eastAsia"/>
          <w:sz w:val="28"/>
          <w:szCs w:val="28"/>
        </w:rPr>
        <w:t>3. 场地内的货梯的所有费用由承租方负担（包括但不限于保险，保养，维护和维修等）。</w:t>
      </w:r>
    </w:p>
    <w:p>
      <w:pPr>
        <w:spacing w:line="24" w:lineRule="atLeast"/>
        <w:ind w:firstLine="560" w:firstLineChars="200"/>
        <w:rPr>
          <w:sz w:val="28"/>
          <w:szCs w:val="28"/>
        </w:rPr>
      </w:pPr>
      <w:r>
        <w:rPr>
          <w:rFonts w:hint="eastAsia"/>
          <w:sz w:val="28"/>
          <w:szCs w:val="28"/>
        </w:rPr>
        <w:t>4. 中间扶梯使用权交由承租方。所有费用公司承担20%，承租者承担80%。</w:t>
      </w:r>
    </w:p>
    <w:p>
      <w:pPr>
        <w:spacing w:line="24" w:lineRule="atLeast"/>
        <w:ind w:firstLine="560" w:firstLineChars="200"/>
        <w:rPr>
          <w:sz w:val="28"/>
          <w:szCs w:val="28"/>
        </w:rPr>
      </w:pPr>
      <w:r>
        <w:rPr>
          <w:rFonts w:hint="eastAsia"/>
          <w:sz w:val="28"/>
          <w:szCs w:val="28"/>
        </w:rPr>
        <w:t>5. 场地内的水电费等由承租者自行承担。</w:t>
      </w:r>
    </w:p>
    <w:p>
      <w:pPr>
        <w:spacing w:line="24" w:lineRule="atLeast"/>
        <w:ind w:firstLine="560" w:firstLineChars="200"/>
        <w:rPr>
          <w:sz w:val="28"/>
          <w:szCs w:val="28"/>
        </w:rPr>
      </w:pPr>
      <w:r>
        <w:rPr>
          <w:rFonts w:hint="eastAsia"/>
          <w:sz w:val="28"/>
          <w:szCs w:val="28"/>
        </w:rPr>
        <w:t>6. 第一年租期为13个月，有一个月作为承租方装修调整用。</w:t>
      </w:r>
    </w:p>
    <w:p>
      <w:pPr>
        <w:spacing w:line="24" w:lineRule="atLeast"/>
        <w:ind w:firstLine="560" w:firstLineChars="200"/>
        <w:rPr>
          <w:sz w:val="28"/>
          <w:szCs w:val="28"/>
        </w:rPr>
      </w:pPr>
      <w:r>
        <w:rPr>
          <w:rFonts w:hint="eastAsia"/>
          <w:sz w:val="28"/>
          <w:szCs w:val="28"/>
        </w:rPr>
        <w:t>7. 出租房子产生的房产税等一切税费中，承租者一年承担10万。公司开租金正式发票给承租方。</w:t>
      </w:r>
    </w:p>
    <w:p>
      <w:pPr>
        <w:spacing w:line="24" w:lineRule="atLeast"/>
        <w:ind w:firstLine="560" w:firstLineChars="200"/>
        <w:rPr>
          <w:sz w:val="28"/>
          <w:szCs w:val="28"/>
        </w:rPr>
      </w:pPr>
      <w:r>
        <w:rPr>
          <w:rFonts w:hint="eastAsia"/>
          <w:sz w:val="28"/>
          <w:szCs w:val="28"/>
        </w:rPr>
        <w:t>8. 承租年限为 9年，押金30万至合同到期后无息退还。</w:t>
      </w:r>
    </w:p>
    <w:p>
      <w:pPr>
        <w:spacing w:line="24" w:lineRule="atLeast"/>
        <w:ind w:firstLine="560" w:firstLineChars="200"/>
        <w:rPr>
          <w:sz w:val="28"/>
          <w:szCs w:val="28"/>
        </w:rPr>
      </w:pPr>
      <w:r>
        <w:rPr>
          <w:rFonts w:hint="eastAsia"/>
          <w:sz w:val="28"/>
          <w:szCs w:val="28"/>
        </w:rPr>
        <w:t>9. 租金前两年价格不变。第三年起增幅5%以此重复。（例：62万的中标价。第1，2两年为62万元。第3，4，5年为65.1万元。第6，7，8年为683550元。第9年为717730元）</w:t>
      </w:r>
    </w:p>
    <w:p>
      <w:pPr>
        <w:spacing w:line="24" w:lineRule="atLeast"/>
        <w:ind w:firstLine="560" w:firstLineChars="200"/>
        <w:rPr>
          <w:sz w:val="28"/>
          <w:szCs w:val="28"/>
        </w:rPr>
      </w:pPr>
      <w:r>
        <w:rPr>
          <w:rFonts w:hint="eastAsia"/>
          <w:sz w:val="28"/>
          <w:szCs w:val="28"/>
        </w:rPr>
        <w:t>第四条   合同履约保证金</w:t>
      </w:r>
    </w:p>
    <w:p>
      <w:pPr>
        <w:spacing w:line="24" w:lineRule="atLeast"/>
        <w:rPr>
          <w:sz w:val="24"/>
        </w:rPr>
      </w:pPr>
      <w:r>
        <w:rPr>
          <w:rFonts w:hint="eastAsia"/>
          <w:sz w:val="28"/>
          <w:szCs w:val="28"/>
        </w:rPr>
        <w:t>1</w:t>
      </w:r>
      <w:r>
        <w:rPr>
          <w:rFonts w:hint="eastAsia" w:ascii="宋体" w:hAnsi="宋体"/>
          <w:sz w:val="28"/>
          <w:szCs w:val="28"/>
        </w:rPr>
        <w:t>、本合同的履约保证金总额为人民币</w:t>
      </w:r>
      <w:r>
        <w:rPr>
          <w:rFonts w:hint="eastAsia" w:ascii="宋体" w:hAnsi="宋体"/>
          <w:sz w:val="28"/>
          <w:szCs w:val="28"/>
          <w:u w:val="single"/>
        </w:rPr>
        <w:t xml:space="preserve"> 叁拾 </w:t>
      </w:r>
      <w:r>
        <w:rPr>
          <w:rFonts w:hint="eastAsia" w:ascii="宋体" w:hAnsi="宋体"/>
          <w:sz w:val="28"/>
          <w:szCs w:val="28"/>
        </w:rPr>
        <w:t>万元，保证金在合同履行期满乙方保留其正常运营时的装修，可移动的装饰物及改造物归乙方所有，不可拆除的装修和改造物品无偿归甲方所有。（如电灯，电线，消防器材，管道等都不准拆。空调及通风系统保证完整，且可正常运行。如需修理，由乙方修理或按价赔偿。）退租前须经甲方验收确认后，七个工作日内不计息退还给乙方。</w:t>
      </w:r>
    </w:p>
    <w:p>
      <w:pPr>
        <w:spacing w:line="24" w:lineRule="atLeast"/>
        <w:ind w:firstLine="560" w:firstLineChars="200"/>
        <w:rPr>
          <w:sz w:val="28"/>
          <w:szCs w:val="28"/>
        </w:rPr>
      </w:pPr>
      <w:r>
        <w:rPr>
          <w:rFonts w:hint="eastAsia"/>
          <w:sz w:val="28"/>
          <w:szCs w:val="28"/>
        </w:rPr>
        <w:t>2、甲方有权根据乙方违约情况(如拖欠应缴费用等)在本合同保证金中扣除相应拖欠应缴费用。</w:t>
      </w:r>
    </w:p>
    <w:p>
      <w:pPr>
        <w:spacing w:line="24" w:lineRule="atLeast"/>
        <w:ind w:firstLine="560" w:firstLineChars="200"/>
        <w:rPr>
          <w:sz w:val="28"/>
          <w:szCs w:val="28"/>
        </w:rPr>
      </w:pPr>
      <w:r>
        <w:rPr>
          <w:rFonts w:hint="eastAsia"/>
          <w:sz w:val="28"/>
          <w:szCs w:val="28"/>
        </w:rPr>
        <w:t>3、因乙方违反约定等原因被扣除本合同保证金后，导致甲方所持本合同保证金的总金额少于本合同约定总金额时，乙方须在10天内补足本合同约定保证金金额，否则视乙方违约。</w:t>
      </w:r>
    </w:p>
    <w:p>
      <w:pPr>
        <w:spacing w:line="24" w:lineRule="atLeast"/>
        <w:ind w:firstLine="560" w:firstLineChars="200"/>
        <w:rPr>
          <w:sz w:val="28"/>
          <w:szCs w:val="28"/>
        </w:rPr>
      </w:pPr>
      <w:r>
        <w:rPr>
          <w:rFonts w:hint="eastAsia"/>
          <w:sz w:val="28"/>
          <w:szCs w:val="28"/>
        </w:rPr>
        <w:t>4、 甲方指定之收款银行及账户如下所示，如有更改，按甲方书面通知为准。</w:t>
      </w:r>
    </w:p>
    <w:p>
      <w:pPr>
        <w:spacing w:line="24" w:lineRule="atLeast"/>
        <w:ind w:left="1119" w:leftChars="266" w:hanging="560" w:hangingChars="200"/>
        <w:rPr>
          <w:rFonts w:ascii="宋体" w:hAnsi="宋体" w:cs="宋体"/>
          <w:kern w:val="0"/>
          <w:sz w:val="28"/>
          <w:szCs w:val="28"/>
        </w:rPr>
      </w:pPr>
      <w:r>
        <w:rPr>
          <w:rFonts w:ascii="宋体" w:hAnsi="宋体" w:cs="宋体"/>
          <w:kern w:val="0"/>
          <w:sz w:val="28"/>
          <w:szCs w:val="28"/>
        </w:rPr>
        <w:t>5、收款人名称:</w:t>
      </w:r>
      <w:r>
        <w:rPr>
          <w:rFonts w:hint="eastAsia" w:ascii="宋体" w:hAnsi="宋体" w:cs="宋体"/>
          <w:kern w:val="0"/>
          <w:sz w:val="28"/>
          <w:szCs w:val="28"/>
        </w:rPr>
        <w:t>台州横峰国</w:t>
      </w:r>
      <w:r>
        <w:rPr>
          <w:rFonts w:ascii="宋体" w:hAnsi="宋体" w:cs="宋体"/>
          <w:kern w:val="0"/>
          <w:sz w:val="28"/>
          <w:szCs w:val="28"/>
        </w:rPr>
        <w:t>际鞋材城股份有限公司</w:t>
      </w:r>
    </w:p>
    <w:p>
      <w:pPr>
        <w:spacing w:line="24" w:lineRule="atLeast"/>
        <w:ind w:left="1117" w:leftChars="532"/>
        <w:rPr>
          <w:rFonts w:ascii="宋体" w:hAnsi="宋体" w:cs="宋体"/>
          <w:kern w:val="0"/>
          <w:sz w:val="28"/>
          <w:szCs w:val="28"/>
        </w:rPr>
      </w:pPr>
      <w:r>
        <w:rPr>
          <w:rFonts w:ascii="宋体" w:hAnsi="宋体" w:cs="宋体"/>
          <w:kern w:val="0"/>
          <w:sz w:val="28"/>
          <w:szCs w:val="28"/>
        </w:rPr>
        <w:t>开户行:台州银行</w:t>
      </w:r>
      <w:r>
        <w:rPr>
          <w:rFonts w:hint="eastAsia" w:ascii="宋体" w:hAnsi="宋体" w:cs="宋体"/>
          <w:kern w:val="0"/>
          <w:sz w:val="28"/>
          <w:szCs w:val="28"/>
        </w:rPr>
        <w:t>横峰支行</w:t>
      </w:r>
    </w:p>
    <w:p>
      <w:pPr>
        <w:spacing w:line="24" w:lineRule="atLeast"/>
        <w:ind w:firstLine="1120" w:firstLineChars="400"/>
        <w:rPr>
          <w:rFonts w:ascii="宋体" w:hAnsi="宋体" w:cs="宋体"/>
          <w:kern w:val="0"/>
          <w:sz w:val="28"/>
          <w:szCs w:val="28"/>
        </w:rPr>
      </w:pPr>
      <w:r>
        <w:rPr>
          <w:rFonts w:ascii="宋体" w:hAnsi="宋体" w:cs="宋体"/>
          <w:kern w:val="0"/>
          <w:sz w:val="28"/>
          <w:szCs w:val="28"/>
        </w:rPr>
        <w:t>账户:</w:t>
      </w:r>
      <w:r>
        <w:rPr>
          <w:rFonts w:hint="eastAsia" w:ascii="宋体" w:hAnsi="宋体" w:cs="宋体"/>
          <w:kern w:val="0"/>
          <w:sz w:val="28"/>
          <w:szCs w:val="28"/>
        </w:rPr>
        <w:t xml:space="preserve"> 5</w:t>
      </w:r>
      <w:r>
        <w:rPr>
          <w:rFonts w:ascii="宋体" w:hAnsi="宋体" w:cs="宋体"/>
          <w:kern w:val="0"/>
          <w:sz w:val="28"/>
          <w:szCs w:val="28"/>
        </w:rPr>
        <w:t>30404415800015</w:t>
      </w:r>
      <w:r>
        <w:rPr>
          <w:rFonts w:hint="eastAsia" w:ascii="宋体" w:hAnsi="宋体" w:cs="宋体"/>
          <w:kern w:val="0"/>
          <w:sz w:val="28"/>
          <w:szCs w:val="28"/>
        </w:rPr>
        <w:t xml:space="preserve"> </w:t>
      </w:r>
    </w:p>
    <w:p>
      <w:pPr>
        <w:spacing w:line="24" w:lineRule="atLeast"/>
        <w:ind w:firstLine="560" w:firstLineChars="200"/>
        <w:rPr>
          <w:rFonts w:ascii="宋体" w:hAnsi="宋体" w:cs="宋体"/>
          <w:kern w:val="0"/>
          <w:sz w:val="28"/>
          <w:szCs w:val="28"/>
        </w:rPr>
      </w:pPr>
      <w:r>
        <w:rPr>
          <w:rFonts w:ascii="宋体" w:hAnsi="宋体" w:cs="宋体"/>
          <w:kern w:val="0"/>
          <w:sz w:val="28"/>
          <w:szCs w:val="28"/>
        </w:rPr>
        <w:t>第五条  房屋使用约定及甲方的义务</w:t>
      </w:r>
    </w:p>
    <w:p>
      <w:pPr>
        <w:numPr>
          <w:ilvl w:val="0"/>
          <w:numId w:val="8"/>
        </w:numPr>
        <w:spacing w:line="24" w:lineRule="atLeast"/>
        <w:rPr>
          <w:sz w:val="28"/>
          <w:szCs w:val="28"/>
        </w:rPr>
      </w:pPr>
      <w:r>
        <w:rPr>
          <w:rFonts w:hint="eastAsia"/>
          <w:sz w:val="28"/>
          <w:szCs w:val="28"/>
        </w:rPr>
        <w:t>乙方承包后，最好是经营鞋材市场，可延展为鞋类相关产品市场。若确需改变，可经营其他附合国家法律法规的其他项目。如需审批甲方只负责提供必要的材料，其他一切手续及费用等均由承包人负责与公司无关。退出时，必须空调正常，消防附合国家要求且可正常经营。如有问题，按实际恢复费用由承包人赔偿。</w:t>
      </w:r>
    </w:p>
    <w:p>
      <w:pPr>
        <w:numPr>
          <w:ilvl w:val="0"/>
          <w:numId w:val="8"/>
        </w:numPr>
        <w:spacing w:line="24" w:lineRule="atLeast"/>
        <w:ind w:firstLine="560" w:firstLineChars="200"/>
        <w:rPr>
          <w:rFonts w:ascii="宋体" w:hAnsi="宋体" w:cs="宋体"/>
          <w:kern w:val="0"/>
          <w:sz w:val="28"/>
          <w:szCs w:val="28"/>
        </w:rPr>
      </w:pPr>
      <w:r>
        <w:rPr>
          <w:rFonts w:ascii="宋体" w:hAnsi="宋体" w:cs="宋体"/>
          <w:kern w:val="0"/>
          <w:sz w:val="28"/>
          <w:szCs w:val="28"/>
        </w:rPr>
        <w:t>本合</w:t>
      </w:r>
      <w:r>
        <w:rPr>
          <w:rFonts w:hint="eastAsia" w:ascii="宋体" w:hAnsi="宋体" w:cs="宋体"/>
          <w:kern w:val="0"/>
          <w:sz w:val="28"/>
          <w:szCs w:val="28"/>
        </w:rPr>
        <w:t>同签订后</w:t>
      </w:r>
      <w:r>
        <w:rPr>
          <w:rFonts w:ascii="宋体" w:hAnsi="宋体" w:cs="宋体"/>
          <w:kern w:val="0"/>
          <w:sz w:val="28"/>
          <w:szCs w:val="28"/>
        </w:rPr>
        <w:t>，甲方须</w:t>
      </w:r>
      <w:r>
        <w:rPr>
          <w:rFonts w:hint="eastAsia" w:ascii="宋体" w:hAnsi="宋体" w:cs="宋体"/>
          <w:kern w:val="0"/>
          <w:sz w:val="28"/>
          <w:szCs w:val="28"/>
        </w:rPr>
        <w:t>配合乙方办理相关手续</w:t>
      </w:r>
      <w:r>
        <w:rPr>
          <w:rFonts w:ascii="宋体" w:hAnsi="宋体" w:cs="宋体"/>
          <w:kern w:val="0"/>
          <w:sz w:val="28"/>
          <w:szCs w:val="28"/>
        </w:rPr>
        <w:t>，</w:t>
      </w:r>
      <w:r>
        <w:rPr>
          <w:rFonts w:hint="eastAsia" w:ascii="宋体" w:hAnsi="宋体" w:cs="宋体"/>
          <w:kern w:val="0"/>
          <w:sz w:val="28"/>
          <w:szCs w:val="28"/>
        </w:rPr>
        <w:t>提供必要的资料。</w:t>
      </w:r>
      <w:r>
        <w:rPr>
          <w:rFonts w:ascii="宋体" w:hAnsi="宋体" w:cs="宋体"/>
          <w:kern w:val="0"/>
          <w:sz w:val="28"/>
          <w:szCs w:val="28"/>
        </w:rPr>
        <w:t>如</w:t>
      </w:r>
      <w:r>
        <w:rPr>
          <w:rFonts w:hint="eastAsia" w:ascii="宋体" w:hAnsi="宋体" w:cs="宋体"/>
          <w:kern w:val="0"/>
          <w:sz w:val="28"/>
          <w:szCs w:val="28"/>
        </w:rPr>
        <w:t>甲方刁难造成</w:t>
      </w:r>
      <w:r>
        <w:rPr>
          <w:rFonts w:ascii="宋体" w:hAnsi="宋体" w:cs="宋体"/>
          <w:kern w:val="0"/>
          <w:sz w:val="28"/>
          <w:szCs w:val="28"/>
        </w:rPr>
        <w:t>乙方办理不下所有符合开业的证件，则甲方无条件退还已交纳的全额保证金款项。</w:t>
      </w:r>
      <w:r>
        <w:rPr>
          <w:rFonts w:hint="eastAsia" w:ascii="宋体" w:hAnsi="宋体" w:cs="宋体"/>
          <w:kern w:val="0"/>
          <w:sz w:val="28"/>
          <w:szCs w:val="28"/>
        </w:rPr>
        <w:t>甲方提供现有的</w:t>
      </w:r>
      <w:r>
        <w:rPr>
          <w:rFonts w:ascii="宋体" w:hAnsi="宋体" w:cs="宋体"/>
          <w:kern w:val="0"/>
          <w:sz w:val="28"/>
          <w:szCs w:val="28"/>
        </w:rPr>
        <w:t>水、电</w:t>
      </w:r>
      <w:r>
        <w:rPr>
          <w:rFonts w:hint="eastAsia" w:ascii="宋体" w:hAnsi="宋体" w:cs="宋体"/>
          <w:kern w:val="0"/>
          <w:sz w:val="28"/>
          <w:szCs w:val="28"/>
        </w:rPr>
        <w:t>给</w:t>
      </w:r>
      <w:r>
        <w:rPr>
          <w:rFonts w:ascii="宋体" w:hAnsi="宋体" w:cs="宋体"/>
          <w:kern w:val="0"/>
          <w:sz w:val="28"/>
          <w:szCs w:val="28"/>
        </w:rPr>
        <w:t>乙方</w:t>
      </w:r>
      <w:r>
        <w:rPr>
          <w:rFonts w:hint="eastAsia" w:ascii="宋体" w:hAnsi="宋体" w:cs="宋体"/>
          <w:kern w:val="0"/>
          <w:sz w:val="28"/>
          <w:szCs w:val="28"/>
        </w:rPr>
        <w:t>。</w:t>
      </w:r>
    </w:p>
    <w:p>
      <w:pPr>
        <w:numPr>
          <w:ilvl w:val="0"/>
          <w:numId w:val="8"/>
        </w:numPr>
        <w:spacing w:line="24" w:lineRule="atLeast"/>
        <w:ind w:firstLine="560" w:firstLineChars="200"/>
        <w:rPr>
          <w:rFonts w:ascii="宋体" w:hAnsi="宋体" w:cs="宋体"/>
          <w:kern w:val="0"/>
          <w:sz w:val="28"/>
          <w:szCs w:val="28"/>
        </w:rPr>
      </w:pPr>
      <w:r>
        <w:rPr>
          <w:rFonts w:ascii="宋体" w:hAnsi="宋体" w:cs="宋体"/>
          <w:kern w:val="0"/>
          <w:sz w:val="28"/>
          <w:szCs w:val="28"/>
        </w:rPr>
        <w:t>乙方有权对自身经营时间自行决定，</w:t>
      </w:r>
      <w:r>
        <w:rPr>
          <w:rFonts w:hint="eastAsia" w:ascii="宋体" w:hAnsi="宋体" w:cs="宋体"/>
          <w:kern w:val="0"/>
          <w:sz w:val="28"/>
          <w:szCs w:val="28"/>
        </w:rPr>
        <w:t>乙</w:t>
      </w:r>
      <w:r>
        <w:rPr>
          <w:rFonts w:ascii="宋体" w:hAnsi="宋体" w:cs="宋体"/>
          <w:kern w:val="0"/>
          <w:sz w:val="28"/>
          <w:szCs w:val="28"/>
        </w:rPr>
        <w:t>方应保证房屋的建筑结构</w:t>
      </w:r>
      <w:r>
        <w:rPr>
          <w:rFonts w:hint="eastAsia" w:ascii="宋体" w:hAnsi="宋体" w:cs="宋体"/>
          <w:kern w:val="0"/>
          <w:sz w:val="28"/>
          <w:szCs w:val="28"/>
        </w:rPr>
        <w:t>完整</w:t>
      </w:r>
      <w:r>
        <w:rPr>
          <w:rFonts w:ascii="宋体" w:hAnsi="宋体" w:cs="宋体"/>
          <w:kern w:val="0"/>
          <w:sz w:val="28"/>
          <w:szCs w:val="28"/>
        </w:rPr>
        <w:t>、建筑、消防、治安、卫生各种各样各方面的安全条件，不得危及人身安全。</w:t>
      </w:r>
    </w:p>
    <w:p>
      <w:pPr>
        <w:numPr>
          <w:ilvl w:val="0"/>
          <w:numId w:val="8"/>
        </w:numPr>
        <w:spacing w:line="24" w:lineRule="atLeast"/>
        <w:ind w:firstLine="560" w:firstLineChars="200"/>
        <w:rPr>
          <w:rFonts w:ascii="宋体" w:hAnsi="宋体" w:cs="宋体"/>
          <w:kern w:val="0"/>
          <w:sz w:val="28"/>
          <w:szCs w:val="28"/>
        </w:rPr>
      </w:pPr>
      <w:r>
        <w:rPr>
          <w:rFonts w:hint="eastAsia" w:ascii="宋体" w:hAnsi="宋体" w:cs="宋体"/>
          <w:kern w:val="0"/>
          <w:sz w:val="28"/>
          <w:szCs w:val="28"/>
        </w:rPr>
        <w:t>未经甲方允许，乙方不得随意增添大型设备。不得随意改变框架结构，如确需改变的，需征得甲方书面同意。否则视乙方违约，甲方没收押金收回场地。</w:t>
      </w:r>
    </w:p>
    <w:p>
      <w:pPr>
        <w:numPr>
          <w:ilvl w:val="0"/>
          <w:numId w:val="8"/>
        </w:numPr>
        <w:spacing w:line="24" w:lineRule="atLeast"/>
        <w:ind w:firstLine="560" w:firstLineChars="200"/>
        <w:rPr>
          <w:rFonts w:ascii="宋体" w:hAnsi="宋体" w:cs="宋体"/>
          <w:kern w:val="0"/>
          <w:sz w:val="28"/>
          <w:szCs w:val="28"/>
        </w:rPr>
      </w:pPr>
      <w:r>
        <w:rPr>
          <w:rFonts w:hint="eastAsia" w:ascii="宋体" w:hAnsi="宋体" w:cs="宋体"/>
          <w:kern w:val="0"/>
          <w:sz w:val="28"/>
          <w:szCs w:val="28"/>
        </w:rPr>
        <w:t>为保证良好的经营环境，甲、乙双方有义务管理维护好扶梯的电梯。乙方承租范围内货梯，空调的维护、管理费、电费费用由乙方承担。</w:t>
      </w:r>
    </w:p>
    <w:p>
      <w:pPr>
        <w:numPr>
          <w:ilvl w:val="0"/>
          <w:numId w:val="8"/>
        </w:numPr>
        <w:spacing w:line="24" w:lineRule="atLeast"/>
        <w:ind w:firstLine="560" w:firstLineChars="200"/>
        <w:rPr>
          <w:rFonts w:ascii="宋体" w:hAnsi="宋体" w:cs="宋体"/>
          <w:kern w:val="0"/>
          <w:sz w:val="28"/>
          <w:szCs w:val="28"/>
        </w:rPr>
      </w:pPr>
      <w:r>
        <w:rPr>
          <w:rFonts w:ascii="宋体" w:hAnsi="宋体" w:cs="宋体"/>
          <w:kern w:val="0"/>
          <w:sz w:val="28"/>
          <w:szCs w:val="28"/>
        </w:rPr>
        <w:t>甲方有权对出租物业的使用权</w:t>
      </w:r>
      <w:r>
        <w:rPr>
          <w:rFonts w:hint="eastAsia" w:ascii="宋体" w:hAnsi="宋体" w:cs="宋体"/>
          <w:kern w:val="0"/>
          <w:sz w:val="28"/>
          <w:szCs w:val="28"/>
        </w:rPr>
        <w:t>做出</w:t>
      </w:r>
      <w:r>
        <w:rPr>
          <w:rFonts w:ascii="宋体" w:hAnsi="宋体" w:cs="宋体"/>
          <w:kern w:val="0"/>
          <w:sz w:val="28"/>
          <w:szCs w:val="28"/>
        </w:rPr>
        <w:t>合理规定</w:t>
      </w:r>
      <w:r>
        <w:rPr>
          <w:rFonts w:hint="eastAsia" w:ascii="宋体" w:hAnsi="宋体" w:cs="宋体"/>
          <w:kern w:val="0"/>
          <w:sz w:val="28"/>
          <w:szCs w:val="28"/>
        </w:rPr>
        <w:t>。</w:t>
      </w:r>
    </w:p>
    <w:p>
      <w:pPr>
        <w:numPr>
          <w:ilvl w:val="0"/>
          <w:numId w:val="8"/>
        </w:numPr>
        <w:spacing w:line="24" w:lineRule="atLeast"/>
        <w:ind w:firstLine="560" w:firstLineChars="200"/>
        <w:rPr>
          <w:rFonts w:ascii="宋体" w:hAnsi="宋体" w:cs="宋体"/>
          <w:kern w:val="0"/>
          <w:sz w:val="28"/>
          <w:szCs w:val="28"/>
        </w:rPr>
      </w:pPr>
      <w:r>
        <w:rPr>
          <w:rFonts w:ascii="宋体" w:hAnsi="宋体" w:cs="宋体"/>
          <w:kern w:val="0"/>
          <w:sz w:val="28"/>
          <w:szCs w:val="28"/>
        </w:rPr>
        <w:t>甲方有权按合同约定按时收取乙方相关费用。</w:t>
      </w:r>
    </w:p>
    <w:p>
      <w:pPr>
        <w:numPr>
          <w:ilvl w:val="0"/>
          <w:numId w:val="8"/>
        </w:numPr>
        <w:spacing w:line="24" w:lineRule="atLeast"/>
        <w:ind w:firstLine="560" w:firstLineChars="200"/>
        <w:rPr>
          <w:sz w:val="28"/>
          <w:szCs w:val="28"/>
        </w:rPr>
      </w:pPr>
      <w:r>
        <w:rPr>
          <w:rFonts w:ascii="宋体" w:hAnsi="宋体" w:cs="宋体"/>
          <w:kern w:val="0"/>
          <w:sz w:val="28"/>
          <w:szCs w:val="28"/>
        </w:rPr>
        <w:t>在乙方按本合同规定及时清缴租金和其他应付的费用，并履行了本合同规定应尽义务的情况下，甲方不得干扰乙方合理地使用所租赁场所。</w:t>
      </w:r>
    </w:p>
    <w:p>
      <w:pPr>
        <w:numPr>
          <w:ilvl w:val="0"/>
          <w:numId w:val="8"/>
        </w:numPr>
        <w:spacing w:line="24" w:lineRule="atLeast"/>
        <w:ind w:firstLine="560" w:firstLineChars="200"/>
        <w:rPr>
          <w:sz w:val="28"/>
          <w:szCs w:val="28"/>
        </w:rPr>
      </w:pPr>
      <w:r>
        <w:rPr>
          <w:rFonts w:hint="eastAsia" w:ascii="宋体" w:hAnsi="宋体" w:cs="宋体"/>
          <w:kern w:val="0"/>
          <w:sz w:val="28"/>
          <w:szCs w:val="28"/>
        </w:rPr>
        <w:t>乙</w:t>
      </w:r>
      <w:r>
        <w:rPr>
          <w:rFonts w:ascii="宋体" w:hAnsi="宋体" w:cs="宋体"/>
          <w:kern w:val="0"/>
          <w:sz w:val="28"/>
          <w:szCs w:val="28"/>
        </w:rPr>
        <w:t>方须做好</w:t>
      </w:r>
      <w:r>
        <w:rPr>
          <w:rFonts w:hint="eastAsia" w:ascii="宋体" w:hAnsi="宋体" w:cs="宋体"/>
          <w:kern w:val="0"/>
          <w:sz w:val="28"/>
          <w:szCs w:val="28"/>
        </w:rPr>
        <w:t>商铺</w:t>
      </w:r>
      <w:r>
        <w:rPr>
          <w:rFonts w:ascii="宋体" w:hAnsi="宋体" w:cs="宋体"/>
          <w:kern w:val="0"/>
          <w:sz w:val="28"/>
          <w:szCs w:val="28"/>
        </w:rPr>
        <w:t>场内的管理，</w:t>
      </w:r>
      <w:r>
        <w:rPr>
          <w:rFonts w:hint="eastAsia" w:ascii="宋体" w:hAnsi="宋体" w:cs="宋体"/>
          <w:kern w:val="0"/>
          <w:sz w:val="28"/>
          <w:szCs w:val="28"/>
        </w:rPr>
        <w:t>甲方须</w:t>
      </w:r>
      <w:r>
        <w:rPr>
          <w:rFonts w:ascii="宋体" w:hAnsi="宋体" w:cs="宋体"/>
          <w:kern w:val="0"/>
          <w:sz w:val="28"/>
          <w:szCs w:val="28"/>
        </w:rPr>
        <w:t>为乙方提供正常的经营环境</w:t>
      </w:r>
      <w:r>
        <w:rPr>
          <w:rFonts w:hint="eastAsia" w:ascii="宋体" w:hAnsi="宋体" w:cs="宋体"/>
          <w:kern w:val="0"/>
          <w:sz w:val="28"/>
          <w:szCs w:val="28"/>
        </w:rPr>
        <w:t>。</w:t>
      </w:r>
      <w:r>
        <w:rPr>
          <w:rFonts w:ascii="宋体" w:hAnsi="宋体" w:cs="宋体"/>
          <w:kern w:val="0"/>
          <w:sz w:val="28"/>
          <w:szCs w:val="28"/>
        </w:rPr>
        <w:t>在双方合同履行期内，甲方不得</w:t>
      </w:r>
      <w:r>
        <w:rPr>
          <w:rFonts w:hint="eastAsia" w:ascii="宋体" w:hAnsi="宋体" w:cs="宋体"/>
          <w:kern w:val="0"/>
          <w:sz w:val="28"/>
          <w:szCs w:val="28"/>
        </w:rPr>
        <w:t>干涉乙方租赁期内的进行的合法经营，否则</w:t>
      </w:r>
      <w:r>
        <w:rPr>
          <w:rFonts w:hint="eastAsia" w:ascii="宋体" w:hAnsi="宋体" w:cs="宋体"/>
          <w:sz w:val="28"/>
          <w:szCs w:val="28"/>
        </w:rPr>
        <w:t>乙方有权单方面解除合同。</w:t>
      </w:r>
    </w:p>
    <w:p>
      <w:pPr>
        <w:numPr>
          <w:ilvl w:val="0"/>
          <w:numId w:val="9"/>
        </w:numPr>
        <w:spacing w:line="24" w:lineRule="atLeast"/>
        <w:ind w:left="420" w:leftChars="200"/>
        <w:rPr>
          <w:sz w:val="28"/>
          <w:szCs w:val="28"/>
        </w:rPr>
      </w:pPr>
      <w:r>
        <w:rPr>
          <w:rFonts w:hint="eastAsia"/>
          <w:sz w:val="28"/>
          <w:szCs w:val="28"/>
        </w:rPr>
        <w:t xml:space="preserve">  甲方义务及权利</w:t>
      </w:r>
    </w:p>
    <w:p>
      <w:pPr>
        <w:numPr>
          <w:ilvl w:val="0"/>
          <w:numId w:val="10"/>
        </w:numPr>
        <w:spacing w:line="24" w:lineRule="atLeast"/>
        <w:rPr>
          <w:sz w:val="28"/>
          <w:szCs w:val="28"/>
        </w:rPr>
      </w:pPr>
      <w:r>
        <w:rPr>
          <w:rFonts w:hint="eastAsia"/>
          <w:sz w:val="28"/>
          <w:szCs w:val="28"/>
        </w:rPr>
        <w:t>甲方收取乙方的物业费只承担周边卫生及鞋材城市场范围内的停车维护， 不负责其它事项。</w:t>
      </w:r>
    </w:p>
    <w:p>
      <w:pPr>
        <w:numPr>
          <w:ilvl w:val="0"/>
          <w:numId w:val="10"/>
        </w:numPr>
        <w:spacing w:line="24" w:lineRule="atLeast"/>
        <w:rPr>
          <w:sz w:val="28"/>
          <w:szCs w:val="28"/>
        </w:rPr>
      </w:pPr>
      <w:r>
        <w:rPr>
          <w:rFonts w:hint="eastAsia"/>
          <w:sz w:val="28"/>
          <w:szCs w:val="28"/>
        </w:rPr>
        <w:t>甲方有权对出租房屋的使用权限做出合理规定。</w:t>
      </w:r>
    </w:p>
    <w:p>
      <w:pPr>
        <w:numPr>
          <w:ilvl w:val="0"/>
          <w:numId w:val="10"/>
        </w:numPr>
        <w:spacing w:line="24" w:lineRule="atLeast"/>
        <w:rPr>
          <w:sz w:val="28"/>
          <w:szCs w:val="28"/>
        </w:rPr>
      </w:pPr>
      <w:r>
        <w:rPr>
          <w:rFonts w:hint="eastAsia"/>
          <w:sz w:val="28"/>
          <w:szCs w:val="28"/>
        </w:rPr>
        <w:t>甲方有权利按合同约定按时收取乙方相关费用。</w:t>
      </w:r>
    </w:p>
    <w:p>
      <w:pPr>
        <w:numPr>
          <w:ilvl w:val="0"/>
          <w:numId w:val="10"/>
        </w:numPr>
        <w:spacing w:line="24" w:lineRule="atLeast"/>
        <w:rPr>
          <w:sz w:val="28"/>
          <w:szCs w:val="28"/>
        </w:rPr>
      </w:pPr>
      <w:r>
        <w:rPr>
          <w:rFonts w:hint="eastAsia"/>
          <w:sz w:val="28"/>
          <w:szCs w:val="28"/>
        </w:rPr>
        <w:t>在乙方按本合同规定及时清缴租金和其他应付的费用，并履行了本合同规定应尽义务的情况下，甲方不得干扰乙方在许可范围内合理地使用所租商铺。</w:t>
      </w:r>
    </w:p>
    <w:p>
      <w:pPr>
        <w:numPr>
          <w:ilvl w:val="0"/>
          <w:numId w:val="10"/>
        </w:numPr>
        <w:spacing w:line="24" w:lineRule="atLeast"/>
        <w:rPr>
          <w:sz w:val="28"/>
          <w:szCs w:val="28"/>
        </w:rPr>
      </w:pPr>
      <w:r>
        <w:rPr>
          <w:rFonts w:hint="eastAsia"/>
          <w:sz w:val="28"/>
          <w:szCs w:val="28"/>
        </w:rPr>
        <w:t>甲方须做好本物业场外的管理，为乙方提供正常的经营环境。</w:t>
      </w:r>
    </w:p>
    <w:p>
      <w:pPr>
        <w:numPr>
          <w:ilvl w:val="0"/>
          <w:numId w:val="11"/>
        </w:numPr>
        <w:spacing w:line="24" w:lineRule="atLeast"/>
        <w:ind w:left="420" w:leftChars="200"/>
        <w:rPr>
          <w:sz w:val="28"/>
          <w:szCs w:val="28"/>
        </w:rPr>
      </w:pPr>
      <w:r>
        <w:rPr>
          <w:rFonts w:hint="eastAsia"/>
          <w:sz w:val="28"/>
          <w:szCs w:val="28"/>
        </w:rPr>
        <w:t xml:space="preserve">  乙方义务及权利</w:t>
      </w:r>
    </w:p>
    <w:p>
      <w:pPr>
        <w:numPr>
          <w:ilvl w:val="0"/>
          <w:numId w:val="12"/>
        </w:numPr>
        <w:spacing w:line="24" w:lineRule="atLeast"/>
        <w:ind w:firstLine="560" w:firstLineChars="200"/>
        <w:rPr>
          <w:sz w:val="28"/>
          <w:szCs w:val="28"/>
        </w:rPr>
      </w:pPr>
      <w:r>
        <w:rPr>
          <w:rFonts w:hint="eastAsia"/>
          <w:sz w:val="28"/>
          <w:szCs w:val="28"/>
        </w:rPr>
        <w:t>乙方须遵守国家法律法规，合法，守法经营，须遵守甲方对本物业管理的各项规章制度。</w:t>
      </w:r>
    </w:p>
    <w:p>
      <w:pPr>
        <w:numPr>
          <w:ilvl w:val="0"/>
          <w:numId w:val="12"/>
        </w:numPr>
        <w:spacing w:line="24" w:lineRule="atLeast"/>
        <w:ind w:firstLine="560" w:firstLineChars="200"/>
        <w:rPr>
          <w:sz w:val="28"/>
          <w:szCs w:val="28"/>
        </w:rPr>
      </w:pPr>
      <w:r>
        <w:rPr>
          <w:rFonts w:hint="eastAsia"/>
          <w:sz w:val="28"/>
          <w:szCs w:val="28"/>
        </w:rPr>
        <w:t>乙方有义务按规定按时缴纳相关费用。</w:t>
      </w:r>
    </w:p>
    <w:p>
      <w:pPr>
        <w:numPr>
          <w:ilvl w:val="0"/>
          <w:numId w:val="12"/>
        </w:numPr>
        <w:spacing w:line="24" w:lineRule="atLeast"/>
        <w:ind w:firstLine="560" w:firstLineChars="200"/>
        <w:rPr>
          <w:sz w:val="28"/>
          <w:szCs w:val="28"/>
        </w:rPr>
      </w:pPr>
      <w:r>
        <w:rPr>
          <w:rFonts w:hint="eastAsia"/>
          <w:sz w:val="28"/>
          <w:szCs w:val="28"/>
        </w:rPr>
        <w:t>乙方承包后，由于经营产生的所有风险由乙方承担。</w:t>
      </w:r>
    </w:p>
    <w:p>
      <w:pPr>
        <w:numPr>
          <w:ilvl w:val="0"/>
          <w:numId w:val="12"/>
        </w:numPr>
        <w:spacing w:line="24" w:lineRule="atLeast"/>
        <w:ind w:firstLine="560" w:firstLineChars="200"/>
        <w:rPr>
          <w:sz w:val="28"/>
          <w:szCs w:val="28"/>
        </w:rPr>
      </w:pPr>
      <w:r>
        <w:rPr>
          <w:rFonts w:hint="eastAsia"/>
          <w:sz w:val="28"/>
          <w:szCs w:val="28"/>
        </w:rPr>
        <w:t>乙方有权利按规定合理使用本物业的公共区域及设施，如损坏则须按价赔偿并承担相关费用。且必须服从管理人员的安排。</w:t>
      </w:r>
    </w:p>
    <w:p>
      <w:pPr>
        <w:numPr>
          <w:ilvl w:val="0"/>
          <w:numId w:val="12"/>
        </w:numPr>
        <w:spacing w:line="24" w:lineRule="atLeast"/>
        <w:ind w:firstLine="560" w:firstLineChars="200"/>
        <w:rPr>
          <w:sz w:val="28"/>
          <w:szCs w:val="28"/>
        </w:rPr>
      </w:pPr>
      <w:r>
        <w:rPr>
          <w:rFonts w:hint="eastAsia"/>
          <w:sz w:val="28"/>
          <w:szCs w:val="28"/>
        </w:rPr>
        <w:t>由于乙方或乙方相关人员所造成甲方的房屋发生火灾、及其它安全事故等，所引起的所有经济损失均由乙方依法承担，同时还须承担法律责任。</w:t>
      </w:r>
    </w:p>
    <w:p>
      <w:pPr>
        <w:numPr>
          <w:ilvl w:val="0"/>
          <w:numId w:val="12"/>
        </w:numPr>
        <w:spacing w:line="24" w:lineRule="atLeast"/>
        <w:ind w:firstLine="560" w:firstLineChars="200"/>
        <w:rPr>
          <w:sz w:val="28"/>
          <w:szCs w:val="28"/>
        </w:rPr>
      </w:pPr>
      <w:r>
        <w:rPr>
          <w:rFonts w:hint="eastAsia"/>
          <w:sz w:val="28"/>
          <w:szCs w:val="28"/>
        </w:rPr>
        <w:t>因乙方经营所需产生的一切安全事故，包括其客户的安全责任全部由乙方负责，与甲方无关。</w:t>
      </w:r>
    </w:p>
    <w:p>
      <w:pPr>
        <w:numPr>
          <w:ilvl w:val="0"/>
          <w:numId w:val="12"/>
        </w:numPr>
        <w:spacing w:line="24" w:lineRule="atLeast"/>
        <w:ind w:firstLine="560" w:firstLineChars="200"/>
        <w:rPr>
          <w:sz w:val="28"/>
          <w:szCs w:val="28"/>
        </w:rPr>
      </w:pPr>
      <w:r>
        <w:rPr>
          <w:rFonts w:hint="eastAsia"/>
          <w:sz w:val="28"/>
          <w:szCs w:val="28"/>
        </w:rPr>
        <w:t>乙方必须每月及时支付乙方职工的工资，并办理相关保险。一旦发现工资拖欠等劳动争议，乙方应承担违约责任。</w:t>
      </w:r>
    </w:p>
    <w:p>
      <w:pPr>
        <w:numPr>
          <w:ilvl w:val="0"/>
          <w:numId w:val="11"/>
        </w:numPr>
        <w:spacing w:line="24" w:lineRule="atLeast"/>
        <w:ind w:left="420" w:leftChars="200"/>
        <w:rPr>
          <w:sz w:val="28"/>
          <w:szCs w:val="28"/>
        </w:rPr>
      </w:pPr>
      <w:r>
        <w:rPr>
          <w:rFonts w:hint="eastAsia"/>
          <w:sz w:val="28"/>
          <w:szCs w:val="28"/>
        </w:rPr>
        <w:t xml:space="preserve">  合同变更与终止</w:t>
      </w:r>
    </w:p>
    <w:p>
      <w:pPr>
        <w:numPr>
          <w:ilvl w:val="0"/>
          <w:numId w:val="13"/>
        </w:numPr>
        <w:spacing w:line="24" w:lineRule="atLeast"/>
        <w:ind w:firstLine="560" w:firstLineChars="200"/>
        <w:rPr>
          <w:sz w:val="28"/>
          <w:szCs w:val="28"/>
        </w:rPr>
      </w:pPr>
      <w:r>
        <w:rPr>
          <w:rFonts w:hint="eastAsia"/>
          <w:sz w:val="28"/>
          <w:szCs w:val="28"/>
        </w:rPr>
        <w:t>本合同生效期间，乙方如须合同更名，经甲方书面同意后，方可合同更名。</w:t>
      </w:r>
    </w:p>
    <w:p>
      <w:pPr>
        <w:numPr>
          <w:ilvl w:val="0"/>
          <w:numId w:val="13"/>
        </w:numPr>
        <w:spacing w:line="24" w:lineRule="atLeast"/>
        <w:ind w:firstLine="560" w:firstLineChars="200"/>
        <w:rPr>
          <w:sz w:val="28"/>
          <w:szCs w:val="28"/>
        </w:rPr>
      </w:pPr>
      <w:r>
        <w:rPr>
          <w:rFonts w:hint="eastAsia"/>
          <w:sz w:val="28"/>
          <w:szCs w:val="28"/>
        </w:rPr>
        <w:t>本合同终止之日起10天内，将按乙方开设商场后的原状交付，并保持清洁。(不包括动产)。</w:t>
      </w:r>
    </w:p>
    <w:p>
      <w:pPr>
        <w:numPr>
          <w:ilvl w:val="0"/>
          <w:numId w:val="11"/>
        </w:numPr>
        <w:spacing w:line="24" w:lineRule="atLeast"/>
        <w:ind w:left="420" w:leftChars="200"/>
        <w:rPr>
          <w:sz w:val="28"/>
          <w:szCs w:val="28"/>
        </w:rPr>
      </w:pPr>
      <w:r>
        <w:rPr>
          <w:rFonts w:hint="eastAsia"/>
          <w:sz w:val="28"/>
          <w:szCs w:val="28"/>
        </w:rPr>
        <w:t xml:space="preserve">  违约责任</w:t>
      </w:r>
    </w:p>
    <w:p>
      <w:pPr>
        <w:spacing w:line="24" w:lineRule="atLeast"/>
        <w:ind w:firstLine="560" w:firstLineChars="200"/>
        <w:rPr>
          <w:sz w:val="28"/>
          <w:szCs w:val="28"/>
        </w:rPr>
      </w:pPr>
      <w:r>
        <w:rPr>
          <w:rFonts w:hint="eastAsia"/>
          <w:sz w:val="28"/>
          <w:szCs w:val="28"/>
        </w:rPr>
        <w:t>1、甲乙双方拒绝履行合同约定条款、义务、均视作违约。</w:t>
      </w:r>
    </w:p>
    <w:p>
      <w:pPr>
        <w:spacing w:line="24" w:lineRule="atLeast"/>
        <w:ind w:firstLine="560" w:firstLineChars="200"/>
        <w:rPr>
          <w:sz w:val="28"/>
          <w:szCs w:val="28"/>
        </w:rPr>
      </w:pPr>
      <w:r>
        <w:rPr>
          <w:rFonts w:hint="eastAsia"/>
          <w:sz w:val="28"/>
          <w:szCs w:val="28"/>
        </w:rPr>
        <w:t>2、乙方拖欠任何一项费用超过1个月，未经甲方同意变更经营用途不符合甲方本市场规划任一情况，或乙方有其他违约行为，甲方有权对乙方停止供应水、电，并可由甲方单方解除合同收回承租场所，乙方所缴的费用及合同保证金金额作为违约金，合同保证金全额不再退还乙方，所造成的一切损失由乙方承担。</w:t>
      </w:r>
    </w:p>
    <w:p>
      <w:pPr>
        <w:spacing w:line="24" w:lineRule="atLeast"/>
        <w:ind w:firstLine="560" w:firstLineChars="200"/>
        <w:rPr>
          <w:sz w:val="28"/>
          <w:szCs w:val="28"/>
        </w:rPr>
      </w:pPr>
      <w:r>
        <w:rPr>
          <w:rFonts w:hint="eastAsia"/>
          <w:sz w:val="28"/>
          <w:szCs w:val="28"/>
        </w:rPr>
        <w:t>3、合同期间，单方提出提前终止合同，提出方须赔偿守约方本合同保证金全额作为违约金，合同保证金全额标准详见本合同第四条第1款。</w:t>
      </w:r>
    </w:p>
    <w:p>
      <w:pPr>
        <w:spacing w:line="24" w:lineRule="atLeast"/>
        <w:ind w:firstLine="560" w:firstLineChars="200"/>
        <w:rPr>
          <w:sz w:val="28"/>
          <w:szCs w:val="28"/>
        </w:rPr>
      </w:pPr>
      <w:r>
        <w:rPr>
          <w:rFonts w:hint="eastAsia"/>
          <w:sz w:val="28"/>
          <w:szCs w:val="28"/>
        </w:rPr>
        <w:t>4、甲方不能干涉，扰乱乙方的正常合法经营，若因甲方故意干涉、扰乱导致乙方无法经营，乙方有权单方解除合同，甲方须退还乙方的合同保证金，并可向甲方追讨最高不超过合同保证金的赔偿。</w:t>
      </w:r>
    </w:p>
    <w:p>
      <w:pPr>
        <w:spacing w:line="24" w:lineRule="atLeast"/>
        <w:ind w:firstLine="560" w:firstLineChars="200"/>
        <w:rPr>
          <w:sz w:val="28"/>
          <w:szCs w:val="28"/>
        </w:rPr>
      </w:pPr>
      <w:r>
        <w:rPr>
          <w:rFonts w:hint="eastAsia"/>
          <w:sz w:val="28"/>
          <w:szCs w:val="28"/>
        </w:rPr>
        <w:t>5、本租赁合同签订一周内甲方未收到乙方签约时应交的保证金，则本合同自动终止，乙方已交的费用作为违约金支付给甲方。</w:t>
      </w:r>
    </w:p>
    <w:p>
      <w:pPr>
        <w:spacing w:line="24" w:lineRule="atLeast"/>
        <w:ind w:firstLine="560" w:firstLineChars="200"/>
        <w:rPr>
          <w:sz w:val="28"/>
          <w:szCs w:val="28"/>
        </w:rPr>
      </w:pPr>
      <w:r>
        <w:rPr>
          <w:rFonts w:hint="eastAsia"/>
          <w:sz w:val="28"/>
          <w:szCs w:val="28"/>
        </w:rPr>
        <w:t>第十条   免责条款</w:t>
      </w:r>
    </w:p>
    <w:p>
      <w:pPr>
        <w:spacing w:line="24" w:lineRule="atLeast"/>
        <w:ind w:firstLine="560" w:firstLineChars="200"/>
        <w:rPr>
          <w:sz w:val="28"/>
          <w:szCs w:val="28"/>
        </w:rPr>
      </w:pPr>
      <w:r>
        <w:rPr>
          <w:rFonts w:hint="eastAsia"/>
          <w:sz w:val="28"/>
          <w:szCs w:val="28"/>
        </w:rPr>
        <w:t>因国家政策、自然灾害等不可抗力因素导致的无法继续使用和造成损失的，本合同终止，甲乙双方均不承担责任，并退还租金及保证金。</w:t>
      </w:r>
    </w:p>
    <w:p>
      <w:pPr>
        <w:spacing w:line="24" w:lineRule="atLeast"/>
        <w:ind w:firstLine="560" w:firstLineChars="200"/>
        <w:rPr>
          <w:sz w:val="28"/>
          <w:szCs w:val="28"/>
        </w:rPr>
      </w:pPr>
      <w:r>
        <w:rPr>
          <w:rFonts w:hint="eastAsia"/>
          <w:sz w:val="28"/>
          <w:szCs w:val="28"/>
        </w:rPr>
        <w:t>第十一条   争议的解决</w:t>
      </w:r>
    </w:p>
    <w:p>
      <w:pPr>
        <w:spacing w:line="24" w:lineRule="atLeast"/>
        <w:ind w:firstLine="560" w:firstLineChars="200"/>
        <w:rPr>
          <w:sz w:val="28"/>
          <w:szCs w:val="28"/>
        </w:rPr>
      </w:pPr>
      <w:r>
        <w:rPr>
          <w:rFonts w:hint="eastAsia"/>
          <w:sz w:val="28"/>
          <w:szCs w:val="28"/>
        </w:rPr>
        <w:t>本合同的订立、 效力、解释、履行和争议的解决，均受中华人民共和国相关法律管辖。</w:t>
      </w:r>
    </w:p>
    <w:p>
      <w:pPr>
        <w:spacing w:line="24" w:lineRule="atLeast"/>
        <w:ind w:firstLine="560" w:firstLineChars="200"/>
        <w:rPr>
          <w:sz w:val="28"/>
          <w:szCs w:val="28"/>
        </w:rPr>
      </w:pPr>
      <w:r>
        <w:rPr>
          <w:rFonts w:hint="eastAsia"/>
          <w:sz w:val="28"/>
          <w:szCs w:val="28"/>
        </w:rPr>
        <w:t>甲、乙双方就本合同发生争议时，应通过友好协商解决，若经协商或调解不能达成一致时，任何一方均有权向甲方所在地人民法院提起诉讼。</w:t>
      </w:r>
    </w:p>
    <w:p>
      <w:pPr>
        <w:spacing w:line="24" w:lineRule="atLeast"/>
        <w:ind w:firstLine="560" w:firstLineChars="200"/>
        <w:rPr>
          <w:sz w:val="28"/>
          <w:szCs w:val="28"/>
        </w:rPr>
      </w:pPr>
      <w:r>
        <w:rPr>
          <w:rFonts w:hint="eastAsia"/>
          <w:sz w:val="28"/>
          <w:szCs w:val="28"/>
        </w:rPr>
        <w:t>第十二条  附则</w:t>
      </w:r>
    </w:p>
    <w:p>
      <w:pPr>
        <w:spacing w:line="24" w:lineRule="atLeast"/>
        <w:ind w:firstLine="560" w:firstLineChars="200"/>
        <w:rPr>
          <w:sz w:val="28"/>
          <w:szCs w:val="28"/>
        </w:rPr>
      </w:pPr>
      <w:r>
        <w:rPr>
          <w:rFonts w:hint="eastAsia"/>
          <w:sz w:val="28"/>
          <w:szCs w:val="28"/>
        </w:rPr>
        <w:t>1、若本合同内任何条款与中国法律下成为无效、违法或不能执行时，本合同其余之有效性、合法性及执行性并不因此而受损，甲、乙双方仍须履行其余条文。</w:t>
      </w:r>
    </w:p>
    <w:p>
      <w:pPr>
        <w:spacing w:line="24" w:lineRule="atLeast"/>
        <w:ind w:firstLine="560" w:firstLineChars="200"/>
        <w:rPr>
          <w:sz w:val="28"/>
          <w:szCs w:val="28"/>
        </w:rPr>
      </w:pPr>
      <w:r>
        <w:rPr>
          <w:rFonts w:hint="eastAsia"/>
          <w:sz w:val="28"/>
          <w:szCs w:val="28"/>
        </w:rPr>
        <w:t>2、本合同在甲、乙双方签字盖章，且乙方按本合同规定时间内交纳定金</w:t>
      </w:r>
      <w:r>
        <w:rPr>
          <w:rFonts w:hint="eastAsia"/>
          <w:sz w:val="28"/>
          <w:szCs w:val="28"/>
          <w:u w:val="single"/>
        </w:rPr>
        <w:t>30</w:t>
      </w:r>
      <w:r>
        <w:rPr>
          <w:rFonts w:hint="eastAsia"/>
          <w:sz w:val="28"/>
          <w:szCs w:val="28"/>
        </w:rPr>
        <w:t>万元后即时生效。</w:t>
      </w:r>
    </w:p>
    <w:p>
      <w:pPr>
        <w:spacing w:line="24" w:lineRule="atLeast"/>
        <w:ind w:firstLine="560" w:firstLineChars="200"/>
        <w:rPr>
          <w:sz w:val="28"/>
          <w:szCs w:val="28"/>
        </w:rPr>
      </w:pPr>
      <w:r>
        <w:rPr>
          <w:rFonts w:hint="eastAsia"/>
          <w:sz w:val="28"/>
          <w:szCs w:val="28"/>
        </w:rPr>
        <w:t>3.  乙方改变其经营名称、及法定代表人户籍所在地应于变更后15天内书面通知甲方，当乙方是公司或企业时，公司或企业被收购、联合、合并、清算或拥有公司或企业多数投票权股份的股东或其它拥有控制权的人改变时应于改变后15天内书面通知甲方。</w:t>
      </w:r>
    </w:p>
    <w:tbl>
      <w:tblPr>
        <w:tblStyle w:val="32"/>
        <w:tblpPr w:leftFromText="180" w:rightFromText="180" w:vertAnchor="text" w:tblpX="77" w:tblpY="189"/>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066"/>
        <w:gridCol w:w="1384"/>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35" w:type="dxa"/>
          </w:tcPr>
          <w:p>
            <w:pPr>
              <w:spacing w:line="24" w:lineRule="atLeast"/>
              <w:rPr>
                <w:sz w:val="28"/>
                <w:szCs w:val="28"/>
              </w:rPr>
            </w:pPr>
            <w:r>
              <w:rPr>
                <w:rFonts w:hint="eastAsia"/>
                <w:sz w:val="28"/>
                <w:szCs w:val="28"/>
              </w:rPr>
              <w:t>乙方联系人</w:t>
            </w:r>
          </w:p>
        </w:tc>
        <w:tc>
          <w:tcPr>
            <w:tcW w:w="2066" w:type="dxa"/>
          </w:tcPr>
          <w:p>
            <w:pPr>
              <w:spacing w:line="24" w:lineRule="atLeast"/>
              <w:rPr>
                <w:sz w:val="28"/>
                <w:szCs w:val="28"/>
              </w:rPr>
            </w:pPr>
          </w:p>
        </w:tc>
        <w:tc>
          <w:tcPr>
            <w:tcW w:w="1384" w:type="dxa"/>
          </w:tcPr>
          <w:p>
            <w:pPr>
              <w:spacing w:line="24" w:lineRule="atLeast"/>
              <w:rPr>
                <w:sz w:val="28"/>
                <w:szCs w:val="28"/>
              </w:rPr>
            </w:pPr>
            <w:r>
              <w:rPr>
                <w:rFonts w:hint="eastAsia"/>
                <w:sz w:val="28"/>
                <w:szCs w:val="28"/>
              </w:rPr>
              <w:t>联系电话</w:t>
            </w:r>
          </w:p>
        </w:tc>
        <w:tc>
          <w:tcPr>
            <w:tcW w:w="3596" w:type="dxa"/>
          </w:tcPr>
          <w:p>
            <w:pPr>
              <w:spacing w:line="24" w:lineRule="atLeas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35" w:type="dxa"/>
          </w:tcPr>
          <w:p>
            <w:pPr>
              <w:spacing w:line="24" w:lineRule="atLeast"/>
              <w:rPr>
                <w:sz w:val="28"/>
                <w:szCs w:val="28"/>
              </w:rPr>
            </w:pPr>
            <w:r>
              <w:rPr>
                <w:rFonts w:hint="eastAsia"/>
                <w:sz w:val="28"/>
                <w:szCs w:val="28"/>
              </w:rPr>
              <w:t>通讯地址</w:t>
            </w:r>
          </w:p>
        </w:tc>
        <w:tc>
          <w:tcPr>
            <w:tcW w:w="7046" w:type="dxa"/>
            <w:gridSpan w:val="3"/>
          </w:tcPr>
          <w:p>
            <w:pPr>
              <w:spacing w:line="24" w:lineRule="atLeast"/>
              <w:rPr>
                <w:sz w:val="28"/>
                <w:szCs w:val="28"/>
              </w:rPr>
            </w:pPr>
          </w:p>
        </w:tc>
      </w:tr>
    </w:tbl>
    <w:p>
      <w:pPr>
        <w:spacing w:line="24" w:lineRule="atLeast"/>
        <w:rPr>
          <w:sz w:val="28"/>
          <w:szCs w:val="28"/>
        </w:rPr>
      </w:pPr>
    </w:p>
    <w:p>
      <w:pPr>
        <w:spacing w:line="24" w:lineRule="atLeast"/>
        <w:ind w:firstLine="560" w:firstLineChars="200"/>
        <w:rPr>
          <w:sz w:val="28"/>
          <w:szCs w:val="28"/>
        </w:rPr>
      </w:pPr>
      <w:r>
        <w:rPr>
          <w:rFonts w:hint="eastAsia"/>
          <w:sz w:val="28"/>
          <w:szCs w:val="28"/>
        </w:rPr>
        <w:t>6、本合同所有附件与本合同正文具有同等法律效力，本合同及其附件未尽事宜，由甲乙双方另行协商解决，并签订书面补充协议，与本合同具有同等法律效力。</w:t>
      </w:r>
    </w:p>
    <w:p>
      <w:pPr>
        <w:spacing w:line="24" w:lineRule="atLeast"/>
        <w:ind w:firstLine="560" w:firstLineChars="200"/>
        <w:rPr>
          <w:sz w:val="28"/>
          <w:szCs w:val="28"/>
        </w:rPr>
      </w:pPr>
      <w:r>
        <w:rPr>
          <w:rFonts w:hint="eastAsia"/>
          <w:sz w:val="28"/>
          <w:szCs w:val="28"/>
        </w:rPr>
        <w:t>7、不得改变整体框架，如确有需求，必须得到甲方董事会书面同意方可改变。可在招标前与董事会商议确保可行性。如遇台风或其他天灾等不可抗因素造成损失，承包人需修复至可使用状态。未恢复的按实际费用由承包人赔偿。在承包期间由于经营所产生的风险全部由承包人承担。</w:t>
      </w:r>
    </w:p>
    <w:p>
      <w:pPr>
        <w:spacing w:line="24" w:lineRule="atLeast"/>
        <w:ind w:firstLine="560" w:firstLineChars="200"/>
        <w:rPr>
          <w:sz w:val="28"/>
          <w:szCs w:val="28"/>
        </w:rPr>
      </w:pPr>
      <w:r>
        <w:rPr>
          <w:rFonts w:hint="eastAsia"/>
          <w:sz w:val="28"/>
          <w:szCs w:val="28"/>
        </w:rPr>
        <w:t>8、承包为带租承包，现有所有租户继承给承包人。已交租金给公司的，承包后按实际时间退给承包方，押金在合同到期后由公司退给租户。</w:t>
      </w:r>
    </w:p>
    <w:p>
      <w:pPr>
        <w:spacing w:line="24" w:lineRule="atLeast"/>
        <w:ind w:firstLine="560" w:firstLineChars="200"/>
        <w:rPr>
          <w:sz w:val="28"/>
          <w:szCs w:val="28"/>
        </w:rPr>
      </w:pPr>
      <w:r>
        <w:rPr>
          <w:rFonts w:hint="eastAsia"/>
          <w:sz w:val="28"/>
          <w:szCs w:val="28"/>
        </w:rPr>
        <w:t>9、本合同及所有附件壹式肆份，甲方执有贰份，乙方执有贰份，均具有同等法律效力。</w:t>
      </w:r>
    </w:p>
    <w:p>
      <w:pPr>
        <w:spacing w:line="24" w:lineRule="atLeast"/>
        <w:ind w:firstLine="560" w:firstLineChars="200"/>
        <w:rPr>
          <w:sz w:val="28"/>
          <w:szCs w:val="28"/>
        </w:rPr>
      </w:pPr>
    </w:p>
    <w:p>
      <w:pPr>
        <w:spacing w:line="24" w:lineRule="atLeast"/>
        <w:rPr>
          <w:sz w:val="28"/>
          <w:szCs w:val="28"/>
        </w:rPr>
      </w:pPr>
      <w:r>
        <w:rPr>
          <w:rFonts w:hint="eastAsia"/>
          <w:sz w:val="28"/>
          <w:szCs w:val="28"/>
        </w:rPr>
        <w:t>出租方:台州横峰国际鞋材城股份有限公司    承租方:</w:t>
      </w:r>
    </w:p>
    <w:p>
      <w:pPr>
        <w:spacing w:line="24" w:lineRule="atLeast"/>
        <w:rPr>
          <w:sz w:val="28"/>
          <w:szCs w:val="28"/>
        </w:rPr>
      </w:pPr>
      <w:r>
        <w:rPr>
          <w:rFonts w:hint="eastAsia"/>
          <w:sz w:val="28"/>
          <w:szCs w:val="28"/>
        </w:rPr>
        <w:t xml:space="preserve">法定代表人/授权代表:                     法定代表人/授权表:  </w:t>
      </w:r>
    </w:p>
    <w:p>
      <w:pPr>
        <w:spacing w:line="24" w:lineRule="atLeast"/>
        <w:rPr>
          <w:sz w:val="28"/>
          <w:szCs w:val="28"/>
        </w:rPr>
      </w:pPr>
      <w:r>
        <w:rPr>
          <w:rFonts w:hint="eastAsia"/>
          <w:sz w:val="28"/>
          <w:szCs w:val="28"/>
        </w:rPr>
        <w:t>签字盖章:                                签字盖章:</w:t>
      </w:r>
    </w:p>
    <w:p>
      <w:pPr>
        <w:spacing w:line="24" w:lineRule="atLeast"/>
        <w:rPr>
          <w:sz w:val="28"/>
          <w:szCs w:val="28"/>
        </w:rPr>
      </w:pPr>
      <w:r>
        <w:rPr>
          <w:rFonts w:hint="eastAsia"/>
          <w:sz w:val="28"/>
          <w:szCs w:val="28"/>
        </w:rPr>
        <w:t>签订日期:                                身份证号：</w:t>
      </w:r>
    </w:p>
    <w:p>
      <w:pPr>
        <w:spacing w:line="24" w:lineRule="atLeast"/>
        <w:ind w:firstLine="5600" w:firstLineChars="2000"/>
        <w:rPr>
          <w:sz w:val="28"/>
          <w:szCs w:val="28"/>
        </w:rPr>
      </w:pPr>
      <w:r>
        <w:rPr>
          <w:rFonts w:hint="eastAsia"/>
          <w:sz w:val="28"/>
          <w:szCs w:val="28"/>
        </w:rPr>
        <w:t>签订日期：</w:t>
      </w:r>
    </w:p>
    <w:p>
      <w:pPr>
        <w:tabs>
          <w:tab w:val="left" w:pos="4005"/>
          <w:tab w:val="left" w:pos="4080"/>
          <w:tab w:val="left" w:pos="6120"/>
          <w:tab w:val="left" w:pos="7540"/>
          <w:tab w:val="left" w:pos="8320"/>
        </w:tabs>
        <w:autoSpaceDE w:val="0"/>
        <w:autoSpaceDN w:val="0"/>
        <w:adjustRightInd w:val="0"/>
        <w:spacing w:afterLines="100" w:line="24" w:lineRule="atLeast"/>
        <w:ind w:right="94"/>
        <w:jc w:val="center"/>
        <w:rPr>
          <w:rFonts w:ascii="宋体" w:hAnsi="宋体" w:cs="宋体"/>
          <w:sz w:val="28"/>
          <w:szCs w:val="28"/>
          <w:shd w:val="clear" w:color="auto" w:fill="FFFFFF"/>
        </w:rPr>
      </w:pPr>
    </w:p>
    <w:sectPr>
      <w:headerReference r:id="rId3" w:type="default"/>
      <w:footerReference r:id="rId4" w:type="default"/>
      <w:pgSz w:w="11906" w:h="16838"/>
      <w:pgMar w:top="624" w:right="128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22"/>
                  <w:rPr>
                    <w:rStyle w:val="36"/>
                  </w:rPr>
                </w:pPr>
                <w:r>
                  <w:fldChar w:fldCharType="begin"/>
                </w:r>
                <w:r>
                  <w:rPr>
                    <w:rStyle w:val="36"/>
                  </w:rPr>
                  <w:instrText xml:space="preserve">PAGE  </w:instrText>
                </w:r>
                <w:r>
                  <w:fldChar w:fldCharType="separate"/>
                </w:r>
                <w:r>
                  <w:rPr>
                    <w:rStyle w:val="36"/>
                  </w:rP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9FA39"/>
    <w:multiLevelType w:val="singleLevel"/>
    <w:tmpl w:val="8C69FA39"/>
    <w:lvl w:ilvl="0" w:tentative="0">
      <w:start w:val="1"/>
      <w:numFmt w:val="decimal"/>
      <w:suff w:val="nothing"/>
      <w:lvlText w:val="%1、"/>
      <w:lvlJc w:val="left"/>
    </w:lvl>
  </w:abstractNum>
  <w:abstractNum w:abstractNumId="1">
    <w:nsid w:val="D6025AD7"/>
    <w:multiLevelType w:val="singleLevel"/>
    <w:tmpl w:val="D6025AD7"/>
    <w:lvl w:ilvl="0" w:tentative="0">
      <w:start w:val="1"/>
      <w:numFmt w:val="chineseCounting"/>
      <w:suff w:val="space"/>
      <w:lvlText w:val="第%1条"/>
      <w:lvlJc w:val="left"/>
      <w:pPr>
        <w:ind w:left="420" w:firstLine="0"/>
      </w:pPr>
      <w:rPr>
        <w:rFonts w:hint="eastAsia"/>
      </w:rPr>
    </w:lvl>
  </w:abstractNum>
  <w:abstractNum w:abstractNumId="2">
    <w:nsid w:val="D997C055"/>
    <w:multiLevelType w:val="singleLevel"/>
    <w:tmpl w:val="D997C055"/>
    <w:lvl w:ilvl="0" w:tentative="0">
      <w:start w:val="1"/>
      <w:numFmt w:val="chineseCounting"/>
      <w:suff w:val="space"/>
      <w:lvlText w:val="第%1章"/>
      <w:lvlJc w:val="left"/>
      <w:rPr>
        <w:rFonts w:hint="eastAsia"/>
      </w:rPr>
    </w:lvl>
  </w:abstractNum>
  <w:abstractNum w:abstractNumId="3">
    <w:nsid w:val="DB30B1F7"/>
    <w:multiLevelType w:val="singleLevel"/>
    <w:tmpl w:val="DB30B1F7"/>
    <w:lvl w:ilvl="0" w:tentative="0">
      <w:start w:val="1"/>
      <w:numFmt w:val="decimal"/>
      <w:suff w:val="nothing"/>
      <w:lvlText w:val="%1、"/>
      <w:lvlJc w:val="left"/>
    </w:lvl>
  </w:abstractNum>
  <w:abstractNum w:abstractNumId="4">
    <w:nsid w:val="F2E837B7"/>
    <w:multiLevelType w:val="singleLevel"/>
    <w:tmpl w:val="F2E837B7"/>
    <w:lvl w:ilvl="0" w:tentative="0">
      <w:start w:val="1"/>
      <w:numFmt w:val="lowerLetter"/>
      <w:suff w:val="nothing"/>
      <w:lvlText w:val="%1、"/>
      <w:lvlJc w:val="left"/>
    </w:lvl>
  </w:abstractNum>
  <w:abstractNum w:abstractNumId="5">
    <w:nsid w:val="2FE38D48"/>
    <w:multiLevelType w:val="singleLevel"/>
    <w:tmpl w:val="2FE38D48"/>
    <w:lvl w:ilvl="0" w:tentative="0">
      <w:start w:val="7"/>
      <w:numFmt w:val="chineseCounting"/>
      <w:suff w:val="space"/>
      <w:lvlText w:val="第%1条"/>
      <w:lvlJc w:val="left"/>
      <w:rPr>
        <w:rFonts w:hint="eastAsia"/>
      </w:rPr>
    </w:lvl>
  </w:abstractNum>
  <w:abstractNum w:abstractNumId="6">
    <w:nsid w:val="318956C8"/>
    <w:multiLevelType w:val="singleLevel"/>
    <w:tmpl w:val="318956C8"/>
    <w:lvl w:ilvl="0" w:tentative="0">
      <w:start w:val="1"/>
      <w:numFmt w:val="chineseCounting"/>
      <w:suff w:val="space"/>
      <w:lvlText w:val="第%1条"/>
      <w:lvlJc w:val="left"/>
      <w:rPr>
        <w:rFonts w:hint="eastAsia"/>
      </w:rPr>
    </w:lvl>
  </w:abstractNum>
  <w:abstractNum w:abstractNumId="7">
    <w:nsid w:val="4ED837DB"/>
    <w:multiLevelType w:val="singleLevel"/>
    <w:tmpl w:val="4ED837DB"/>
    <w:lvl w:ilvl="0" w:tentative="0">
      <w:start w:val="1"/>
      <w:numFmt w:val="ideographTraditional"/>
      <w:suff w:val="nothing"/>
      <w:lvlText w:val="%1、"/>
      <w:lvlJc w:val="left"/>
      <w:rPr>
        <w:rFonts w:hint="eastAsia"/>
      </w:rPr>
    </w:lvl>
  </w:abstractNum>
  <w:abstractNum w:abstractNumId="8">
    <w:nsid w:val="558EF973"/>
    <w:multiLevelType w:val="singleLevel"/>
    <w:tmpl w:val="558EF973"/>
    <w:lvl w:ilvl="0" w:tentative="0">
      <w:start w:val="1"/>
      <w:numFmt w:val="chineseCounting"/>
      <w:suff w:val="nothing"/>
      <w:lvlText w:val="（%1）"/>
      <w:lvlJc w:val="left"/>
      <w:rPr>
        <w:rFonts w:hint="eastAsia"/>
      </w:rPr>
    </w:lvl>
  </w:abstractNum>
  <w:abstractNum w:abstractNumId="9">
    <w:nsid w:val="5941C4F3"/>
    <w:multiLevelType w:val="singleLevel"/>
    <w:tmpl w:val="5941C4F3"/>
    <w:lvl w:ilvl="0" w:tentative="0">
      <w:start w:val="6"/>
      <w:numFmt w:val="chineseCounting"/>
      <w:suff w:val="space"/>
      <w:lvlText w:val="第%1条"/>
      <w:lvlJc w:val="left"/>
      <w:rPr>
        <w:rFonts w:hint="eastAsia"/>
      </w:rPr>
    </w:lvl>
  </w:abstractNum>
  <w:abstractNum w:abstractNumId="10">
    <w:nsid w:val="6075AE7E"/>
    <w:multiLevelType w:val="singleLevel"/>
    <w:tmpl w:val="6075AE7E"/>
    <w:lvl w:ilvl="0" w:tentative="0">
      <w:start w:val="1"/>
      <w:numFmt w:val="decimal"/>
      <w:suff w:val="nothing"/>
      <w:lvlText w:val="%1、"/>
      <w:lvlJc w:val="left"/>
    </w:lvl>
  </w:abstractNum>
  <w:abstractNum w:abstractNumId="11">
    <w:nsid w:val="6377FF1D"/>
    <w:multiLevelType w:val="singleLevel"/>
    <w:tmpl w:val="6377FF1D"/>
    <w:lvl w:ilvl="0" w:tentative="0">
      <w:start w:val="1"/>
      <w:numFmt w:val="decimal"/>
      <w:suff w:val="nothing"/>
      <w:lvlText w:val="%1、"/>
      <w:lvlJc w:val="left"/>
      <w:pPr>
        <w:ind w:left="420" w:firstLine="0"/>
      </w:pPr>
    </w:lvl>
  </w:abstractNum>
  <w:abstractNum w:abstractNumId="12">
    <w:nsid w:val="6DA3EDE6"/>
    <w:multiLevelType w:val="singleLevel"/>
    <w:tmpl w:val="6DA3EDE6"/>
    <w:lvl w:ilvl="0" w:tentative="0">
      <w:start w:val="1"/>
      <w:numFmt w:val="decimal"/>
      <w:suff w:val="nothing"/>
      <w:lvlText w:val="%1、"/>
      <w:lvlJc w:val="left"/>
      <w:pPr>
        <w:ind w:left="420" w:firstLine="0"/>
      </w:pPr>
    </w:lvl>
  </w:abstractNum>
  <w:num w:numId="1">
    <w:abstractNumId w:val="2"/>
  </w:num>
  <w:num w:numId="2">
    <w:abstractNumId w:val="4"/>
  </w:num>
  <w:num w:numId="3">
    <w:abstractNumId w:val="6"/>
  </w:num>
  <w:num w:numId="4">
    <w:abstractNumId w:val="8"/>
  </w:num>
  <w:num w:numId="5">
    <w:abstractNumId w:val="7"/>
  </w:num>
  <w:num w:numId="6">
    <w:abstractNumId w:val="1"/>
  </w:num>
  <w:num w:numId="7">
    <w:abstractNumId w:val="11"/>
  </w:num>
  <w:num w:numId="8">
    <w:abstractNumId w:val="0"/>
  </w:num>
  <w:num w:numId="9">
    <w:abstractNumId w:val="9"/>
  </w:num>
  <w:num w:numId="10">
    <w:abstractNumId w:val="1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yNmQ2YzIwZWZkMzZiYTI3ZWFlZWJmYzhmNTc4YjEifQ=="/>
  </w:docVars>
  <w:rsids>
    <w:rsidRoot w:val="00172A27"/>
    <w:rsid w:val="00002388"/>
    <w:rsid w:val="00002BCF"/>
    <w:rsid w:val="00004953"/>
    <w:rsid w:val="0001085F"/>
    <w:rsid w:val="0001186F"/>
    <w:rsid w:val="00014F13"/>
    <w:rsid w:val="000206EB"/>
    <w:rsid w:val="000209B3"/>
    <w:rsid w:val="00021F95"/>
    <w:rsid w:val="00022617"/>
    <w:rsid w:val="00022A32"/>
    <w:rsid w:val="000245F0"/>
    <w:rsid w:val="0002657E"/>
    <w:rsid w:val="000306E5"/>
    <w:rsid w:val="0003172B"/>
    <w:rsid w:val="00032C71"/>
    <w:rsid w:val="00034575"/>
    <w:rsid w:val="00037918"/>
    <w:rsid w:val="00037CBB"/>
    <w:rsid w:val="00040453"/>
    <w:rsid w:val="00041C5F"/>
    <w:rsid w:val="000427F2"/>
    <w:rsid w:val="000452E9"/>
    <w:rsid w:val="00051E44"/>
    <w:rsid w:val="000522B2"/>
    <w:rsid w:val="000523A3"/>
    <w:rsid w:val="000535B8"/>
    <w:rsid w:val="00053F75"/>
    <w:rsid w:val="00062A4D"/>
    <w:rsid w:val="00063B8F"/>
    <w:rsid w:val="00071287"/>
    <w:rsid w:val="000722F5"/>
    <w:rsid w:val="00072E75"/>
    <w:rsid w:val="00075702"/>
    <w:rsid w:val="00082CCE"/>
    <w:rsid w:val="0008459A"/>
    <w:rsid w:val="00085BBE"/>
    <w:rsid w:val="00085D8C"/>
    <w:rsid w:val="00087E63"/>
    <w:rsid w:val="00090B2A"/>
    <w:rsid w:val="000921B9"/>
    <w:rsid w:val="00092605"/>
    <w:rsid w:val="0009347D"/>
    <w:rsid w:val="00095567"/>
    <w:rsid w:val="00095D2A"/>
    <w:rsid w:val="0009673A"/>
    <w:rsid w:val="00096A55"/>
    <w:rsid w:val="00097613"/>
    <w:rsid w:val="000A0767"/>
    <w:rsid w:val="000A153C"/>
    <w:rsid w:val="000A3589"/>
    <w:rsid w:val="000A7BF9"/>
    <w:rsid w:val="000B03B4"/>
    <w:rsid w:val="000B045F"/>
    <w:rsid w:val="000B0658"/>
    <w:rsid w:val="000B185E"/>
    <w:rsid w:val="000B4D9B"/>
    <w:rsid w:val="000C190D"/>
    <w:rsid w:val="000C2230"/>
    <w:rsid w:val="000C3CD5"/>
    <w:rsid w:val="000C5B00"/>
    <w:rsid w:val="000D1B34"/>
    <w:rsid w:val="000D21D8"/>
    <w:rsid w:val="000D36BB"/>
    <w:rsid w:val="000D3D5F"/>
    <w:rsid w:val="000E42B1"/>
    <w:rsid w:val="000E622F"/>
    <w:rsid w:val="000E776E"/>
    <w:rsid w:val="000F0940"/>
    <w:rsid w:val="000F26F9"/>
    <w:rsid w:val="000F2797"/>
    <w:rsid w:val="000F4F09"/>
    <w:rsid w:val="000F5C3A"/>
    <w:rsid w:val="000F5FC2"/>
    <w:rsid w:val="00103242"/>
    <w:rsid w:val="0010324E"/>
    <w:rsid w:val="00106EFA"/>
    <w:rsid w:val="001076AB"/>
    <w:rsid w:val="00112089"/>
    <w:rsid w:val="00112A50"/>
    <w:rsid w:val="001154C4"/>
    <w:rsid w:val="0011750D"/>
    <w:rsid w:val="00120219"/>
    <w:rsid w:val="001202EF"/>
    <w:rsid w:val="001206CB"/>
    <w:rsid w:val="00121A6B"/>
    <w:rsid w:val="00123324"/>
    <w:rsid w:val="00124B7B"/>
    <w:rsid w:val="00132744"/>
    <w:rsid w:val="00135E5C"/>
    <w:rsid w:val="001362E2"/>
    <w:rsid w:val="001413D2"/>
    <w:rsid w:val="0014464F"/>
    <w:rsid w:val="00144A0C"/>
    <w:rsid w:val="001466F0"/>
    <w:rsid w:val="00147313"/>
    <w:rsid w:val="0014761F"/>
    <w:rsid w:val="001508A2"/>
    <w:rsid w:val="00150C4D"/>
    <w:rsid w:val="00151C70"/>
    <w:rsid w:val="00153973"/>
    <w:rsid w:val="0015432B"/>
    <w:rsid w:val="00154499"/>
    <w:rsid w:val="0015523C"/>
    <w:rsid w:val="00155661"/>
    <w:rsid w:val="00160602"/>
    <w:rsid w:val="001618A8"/>
    <w:rsid w:val="001630E5"/>
    <w:rsid w:val="00163572"/>
    <w:rsid w:val="00164400"/>
    <w:rsid w:val="001658B9"/>
    <w:rsid w:val="00165E19"/>
    <w:rsid w:val="00171296"/>
    <w:rsid w:val="00172A27"/>
    <w:rsid w:val="00173151"/>
    <w:rsid w:val="001734C9"/>
    <w:rsid w:val="001734D2"/>
    <w:rsid w:val="0017436D"/>
    <w:rsid w:val="00175CE6"/>
    <w:rsid w:val="001765EF"/>
    <w:rsid w:val="0017744D"/>
    <w:rsid w:val="001804B3"/>
    <w:rsid w:val="00180D13"/>
    <w:rsid w:val="00183EED"/>
    <w:rsid w:val="00187529"/>
    <w:rsid w:val="00187A60"/>
    <w:rsid w:val="00187D4C"/>
    <w:rsid w:val="00192BA5"/>
    <w:rsid w:val="00192F5E"/>
    <w:rsid w:val="00194D50"/>
    <w:rsid w:val="001A5628"/>
    <w:rsid w:val="001B5404"/>
    <w:rsid w:val="001B61F9"/>
    <w:rsid w:val="001C0F97"/>
    <w:rsid w:val="001C1E2B"/>
    <w:rsid w:val="001C2529"/>
    <w:rsid w:val="001C252F"/>
    <w:rsid w:val="001C3501"/>
    <w:rsid w:val="001C55AC"/>
    <w:rsid w:val="001C7155"/>
    <w:rsid w:val="001C7F0A"/>
    <w:rsid w:val="001D07D5"/>
    <w:rsid w:val="001D0926"/>
    <w:rsid w:val="001D3654"/>
    <w:rsid w:val="001D68D8"/>
    <w:rsid w:val="001D7D21"/>
    <w:rsid w:val="001E5368"/>
    <w:rsid w:val="001E795C"/>
    <w:rsid w:val="001F047C"/>
    <w:rsid w:val="001F44A5"/>
    <w:rsid w:val="001F44C8"/>
    <w:rsid w:val="001F4935"/>
    <w:rsid w:val="001F771B"/>
    <w:rsid w:val="001F7DBC"/>
    <w:rsid w:val="002005CB"/>
    <w:rsid w:val="00200627"/>
    <w:rsid w:val="00201670"/>
    <w:rsid w:val="00203352"/>
    <w:rsid w:val="00204120"/>
    <w:rsid w:val="002051D0"/>
    <w:rsid w:val="002066CE"/>
    <w:rsid w:val="00206BBE"/>
    <w:rsid w:val="00206E5C"/>
    <w:rsid w:val="002076D7"/>
    <w:rsid w:val="00207901"/>
    <w:rsid w:val="0020799E"/>
    <w:rsid w:val="00212D1A"/>
    <w:rsid w:val="002145C1"/>
    <w:rsid w:val="00217ED3"/>
    <w:rsid w:val="002200F0"/>
    <w:rsid w:val="002206AB"/>
    <w:rsid w:val="00221902"/>
    <w:rsid w:val="00224031"/>
    <w:rsid w:val="00225FF4"/>
    <w:rsid w:val="0022741C"/>
    <w:rsid w:val="002352A8"/>
    <w:rsid w:val="0023661C"/>
    <w:rsid w:val="00241DC1"/>
    <w:rsid w:val="00242D75"/>
    <w:rsid w:val="00244249"/>
    <w:rsid w:val="00254857"/>
    <w:rsid w:val="0025499B"/>
    <w:rsid w:val="00256CE3"/>
    <w:rsid w:val="002605D3"/>
    <w:rsid w:val="00272C6D"/>
    <w:rsid w:val="00274028"/>
    <w:rsid w:val="0027756F"/>
    <w:rsid w:val="00280B24"/>
    <w:rsid w:val="0028290C"/>
    <w:rsid w:val="0028419E"/>
    <w:rsid w:val="0028715D"/>
    <w:rsid w:val="00291C89"/>
    <w:rsid w:val="002924D0"/>
    <w:rsid w:val="00293B8A"/>
    <w:rsid w:val="00295E85"/>
    <w:rsid w:val="00297EA3"/>
    <w:rsid w:val="002A41C6"/>
    <w:rsid w:val="002A4D94"/>
    <w:rsid w:val="002A5C27"/>
    <w:rsid w:val="002A7876"/>
    <w:rsid w:val="002A7D45"/>
    <w:rsid w:val="002B2D0B"/>
    <w:rsid w:val="002B3166"/>
    <w:rsid w:val="002B32F6"/>
    <w:rsid w:val="002B5957"/>
    <w:rsid w:val="002B60E9"/>
    <w:rsid w:val="002C511C"/>
    <w:rsid w:val="002C5247"/>
    <w:rsid w:val="002C553F"/>
    <w:rsid w:val="002C794A"/>
    <w:rsid w:val="002C7C9C"/>
    <w:rsid w:val="002D28C5"/>
    <w:rsid w:val="002D3779"/>
    <w:rsid w:val="002D78FE"/>
    <w:rsid w:val="002E071A"/>
    <w:rsid w:val="002E149B"/>
    <w:rsid w:val="002E2B2A"/>
    <w:rsid w:val="002E7450"/>
    <w:rsid w:val="002E7B22"/>
    <w:rsid w:val="002F15E6"/>
    <w:rsid w:val="002F2AC9"/>
    <w:rsid w:val="002F4654"/>
    <w:rsid w:val="002F4FAE"/>
    <w:rsid w:val="002F708E"/>
    <w:rsid w:val="002F7847"/>
    <w:rsid w:val="0030517C"/>
    <w:rsid w:val="003116F1"/>
    <w:rsid w:val="003117D5"/>
    <w:rsid w:val="003126E3"/>
    <w:rsid w:val="0031390F"/>
    <w:rsid w:val="003175ED"/>
    <w:rsid w:val="003200BD"/>
    <w:rsid w:val="00321EC8"/>
    <w:rsid w:val="0032213D"/>
    <w:rsid w:val="00323E58"/>
    <w:rsid w:val="00332E11"/>
    <w:rsid w:val="00335103"/>
    <w:rsid w:val="00337B70"/>
    <w:rsid w:val="00344014"/>
    <w:rsid w:val="00345EFC"/>
    <w:rsid w:val="00346446"/>
    <w:rsid w:val="00347D2E"/>
    <w:rsid w:val="003539A2"/>
    <w:rsid w:val="003543DA"/>
    <w:rsid w:val="0035707E"/>
    <w:rsid w:val="00357190"/>
    <w:rsid w:val="00361399"/>
    <w:rsid w:val="00364660"/>
    <w:rsid w:val="003646BA"/>
    <w:rsid w:val="00364A79"/>
    <w:rsid w:val="00364CCC"/>
    <w:rsid w:val="00366C18"/>
    <w:rsid w:val="003707FC"/>
    <w:rsid w:val="003744CA"/>
    <w:rsid w:val="0038006E"/>
    <w:rsid w:val="00380783"/>
    <w:rsid w:val="00381E14"/>
    <w:rsid w:val="00383B18"/>
    <w:rsid w:val="003848B0"/>
    <w:rsid w:val="00385071"/>
    <w:rsid w:val="0039525F"/>
    <w:rsid w:val="003960BE"/>
    <w:rsid w:val="00396786"/>
    <w:rsid w:val="003A20DD"/>
    <w:rsid w:val="003A300A"/>
    <w:rsid w:val="003A67AB"/>
    <w:rsid w:val="003A6E16"/>
    <w:rsid w:val="003A6EF8"/>
    <w:rsid w:val="003B08C1"/>
    <w:rsid w:val="003B0C24"/>
    <w:rsid w:val="003B3D75"/>
    <w:rsid w:val="003B4D1C"/>
    <w:rsid w:val="003B61CE"/>
    <w:rsid w:val="003B6988"/>
    <w:rsid w:val="003C4A6B"/>
    <w:rsid w:val="003C5DB9"/>
    <w:rsid w:val="003C629F"/>
    <w:rsid w:val="003D0133"/>
    <w:rsid w:val="003D1840"/>
    <w:rsid w:val="003D1FA0"/>
    <w:rsid w:val="003D297E"/>
    <w:rsid w:val="003D2C1F"/>
    <w:rsid w:val="003D3FDB"/>
    <w:rsid w:val="003D6AEB"/>
    <w:rsid w:val="003D794C"/>
    <w:rsid w:val="003E1932"/>
    <w:rsid w:val="003E1CFD"/>
    <w:rsid w:val="003E23BA"/>
    <w:rsid w:val="003E3B41"/>
    <w:rsid w:val="003E5F15"/>
    <w:rsid w:val="003E67D8"/>
    <w:rsid w:val="003E7931"/>
    <w:rsid w:val="003F0A2B"/>
    <w:rsid w:val="003F1AB1"/>
    <w:rsid w:val="003F46CE"/>
    <w:rsid w:val="003F4BEB"/>
    <w:rsid w:val="003F4DA6"/>
    <w:rsid w:val="003F7319"/>
    <w:rsid w:val="003F7357"/>
    <w:rsid w:val="00400FE9"/>
    <w:rsid w:val="00401BD4"/>
    <w:rsid w:val="0041051D"/>
    <w:rsid w:val="004143FE"/>
    <w:rsid w:val="00414F70"/>
    <w:rsid w:val="0042255B"/>
    <w:rsid w:val="00426808"/>
    <w:rsid w:val="00426B31"/>
    <w:rsid w:val="00426FBD"/>
    <w:rsid w:val="004270FA"/>
    <w:rsid w:val="004336A1"/>
    <w:rsid w:val="00434491"/>
    <w:rsid w:val="0043548E"/>
    <w:rsid w:val="004372EC"/>
    <w:rsid w:val="00437B98"/>
    <w:rsid w:val="00437EE3"/>
    <w:rsid w:val="00440907"/>
    <w:rsid w:val="004457E3"/>
    <w:rsid w:val="00447E5C"/>
    <w:rsid w:val="00450964"/>
    <w:rsid w:val="00451DC1"/>
    <w:rsid w:val="00453637"/>
    <w:rsid w:val="00454658"/>
    <w:rsid w:val="004577BB"/>
    <w:rsid w:val="00461383"/>
    <w:rsid w:val="00462185"/>
    <w:rsid w:val="00466B54"/>
    <w:rsid w:val="0046732D"/>
    <w:rsid w:val="00467481"/>
    <w:rsid w:val="004679EC"/>
    <w:rsid w:val="0047011B"/>
    <w:rsid w:val="004762D8"/>
    <w:rsid w:val="00481072"/>
    <w:rsid w:val="0048187A"/>
    <w:rsid w:val="0048195C"/>
    <w:rsid w:val="00482CF3"/>
    <w:rsid w:val="004861D9"/>
    <w:rsid w:val="00490FDE"/>
    <w:rsid w:val="00491286"/>
    <w:rsid w:val="00491F16"/>
    <w:rsid w:val="00492AC7"/>
    <w:rsid w:val="00493932"/>
    <w:rsid w:val="00495A44"/>
    <w:rsid w:val="0049655A"/>
    <w:rsid w:val="00496B91"/>
    <w:rsid w:val="004979E5"/>
    <w:rsid w:val="004A47F3"/>
    <w:rsid w:val="004A4A56"/>
    <w:rsid w:val="004A4E23"/>
    <w:rsid w:val="004A74C7"/>
    <w:rsid w:val="004B12F1"/>
    <w:rsid w:val="004B2613"/>
    <w:rsid w:val="004B2D04"/>
    <w:rsid w:val="004B3CCC"/>
    <w:rsid w:val="004B61ED"/>
    <w:rsid w:val="004B69CE"/>
    <w:rsid w:val="004C1E81"/>
    <w:rsid w:val="004C28A4"/>
    <w:rsid w:val="004C2D63"/>
    <w:rsid w:val="004C3368"/>
    <w:rsid w:val="004C4030"/>
    <w:rsid w:val="004C51C4"/>
    <w:rsid w:val="004C5DEE"/>
    <w:rsid w:val="004D1C27"/>
    <w:rsid w:val="004D2B31"/>
    <w:rsid w:val="004D3D0D"/>
    <w:rsid w:val="004D3FC2"/>
    <w:rsid w:val="004D40C3"/>
    <w:rsid w:val="004D5969"/>
    <w:rsid w:val="004D6370"/>
    <w:rsid w:val="004D7A65"/>
    <w:rsid w:val="004E5455"/>
    <w:rsid w:val="004E5D42"/>
    <w:rsid w:val="004E7225"/>
    <w:rsid w:val="004E72BF"/>
    <w:rsid w:val="004F5509"/>
    <w:rsid w:val="004F580B"/>
    <w:rsid w:val="004F6556"/>
    <w:rsid w:val="004F6E39"/>
    <w:rsid w:val="004F7EB5"/>
    <w:rsid w:val="00502E3F"/>
    <w:rsid w:val="00503281"/>
    <w:rsid w:val="00503AE3"/>
    <w:rsid w:val="00504C16"/>
    <w:rsid w:val="00505FE1"/>
    <w:rsid w:val="00511CB3"/>
    <w:rsid w:val="00513978"/>
    <w:rsid w:val="00520B7C"/>
    <w:rsid w:val="0052290C"/>
    <w:rsid w:val="00523DD0"/>
    <w:rsid w:val="00527AE1"/>
    <w:rsid w:val="00527B6D"/>
    <w:rsid w:val="005328E2"/>
    <w:rsid w:val="00532A69"/>
    <w:rsid w:val="00532BFB"/>
    <w:rsid w:val="00536001"/>
    <w:rsid w:val="0053795C"/>
    <w:rsid w:val="00542078"/>
    <w:rsid w:val="00542C6E"/>
    <w:rsid w:val="00542E9B"/>
    <w:rsid w:val="00543A21"/>
    <w:rsid w:val="00544FC9"/>
    <w:rsid w:val="00545188"/>
    <w:rsid w:val="00545A4C"/>
    <w:rsid w:val="00546961"/>
    <w:rsid w:val="00547CCC"/>
    <w:rsid w:val="005525A3"/>
    <w:rsid w:val="00552CB1"/>
    <w:rsid w:val="005535B1"/>
    <w:rsid w:val="00553868"/>
    <w:rsid w:val="00554DB4"/>
    <w:rsid w:val="0056100A"/>
    <w:rsid w:val="0056225F"/>
    <w:rsid w:val="005628FA"/>
    <w:rsid w:val="005635DA"/>
    <w:rsid w:val="005645C0"/>
    <w:rsid w:val="00565DA0"/>
    <w:rsid w:val="00567236"/>
    <w:rsid w:val="00572227"/>
    <w:rsid w:val="0057261F"/>
    <w:rsid w:val="00581663"/>
    <w:rsid w:val="0058382E"/>
    <w:rsid w:val="005842C6"/>
    <w:rsid w:val="005870B8"/>
    <w:rsid w:val="00587CCB"/>
    <w:rsid w:val="005900F2"/>
    <w:rsid w:val="00590984"/>
    <w:rsid w:val="00591294"/>
    <w:rsid w:val="005915D9"/>
    <w:rsid w:val="00592EF3"/>
    <w:rsid w:val="00593A99"/>
    <w:rsid w:val="005948FA"/>
    <w:rsid w:val="005968BE"/>
    <w:rsid w:val="00597FB6"/>
    <w:rsid w:val="005A616D"/>
    <w:rsid w:val="005A61D9"/>
    <w:rsid w:val="005B2EF0"/>
    <w:rsid w:val="005B2F86"/>
    <w:rsid w:val="005B4D21"/>
    <w:rsid w:val="005B4FED"/>
    <w:rsid w:val="005B6B0C"/>
    <w:rsid w:val="005B70FC"/>
    <w:rsid w:val="005B7C70"/>
    <w:rsid w:val="005C6E98"/>
    <w:rsid w:val="005D0070"/>
    <w:rsid w:val="005D0BD1"/>
    <w:rsid w:val="005D0F6A"/>
    <w:rsid w:val="005D14E0"/>
    <w:rsid w:val="005E086F"/>
    <w:rsid w:val="005E125A"/>
    <w:rsid w:val="005E2128"/>
    <w:rsid w:val="005E27FD"/>
    <w:rsid w:val="005E2B3E"/>
    <w:rsid w:val="005E3F6C"/>
    <w:rsid w:val="005E6592"/>
    <w:rsid w:val="005E7C7E"/>
    <w:rsid w:val="005F00ED"/>
    <w:rsid w:val="005F0CA7"/>
    <w:rsid w:val="005F43B8"/>
    <w:rsid w:val="005F4A59"/>
    <w:rsid w:val="006014D1"/>
    <w:rsid w:val="00602247"/>
    <w:rsid w:val="00602288"/>
    <w:rsid w:val="00603575"/>
    <w:rsid w:val="00604AFF"/>
    <w:rsid w:val="0060614D"/>
    <w:rsid w:val="00613B29"/>
    <w:rsid w:val="00614892"/>
    <w:rsid w:val="00620DD0"/>
    <w:rsid w:val="00621641"/>
    <w:rsid w:val="00621714"/>
    <w:rsid w:val="0062210C"/>
    <w:rsid w:val="006239F9"/>
    <w:rsid w:val="00625016"/>
    <w:rsid w:val="0062705C"/>
    <w:rsid w:val="00627278"/>
    <w:rsid w:val="00630F98"/>
    <w:rsid w:val="006328D3"/>
    <w:rsid w:val="00632FCD"/>
    <w:rsid w:val="006337C3"/>
    <w:rsid w:val="00643E40"/>
    <w:rsid w:val="0065092A"/>
    <w:rsid w:val="00650EFD"/>
    <w:rsid w:val="006511EF"/>
    <w:rsid w:val="0065257D"/>
    <w:rsid w:val="0065327C"/>
    <w:rsid w:val="00653D55"/>
    <w:rsid w:val="00657529"/>
    <w:rsid w:val="00663679"/>
    <w:rsid w:val="0066499E"/>
    <w:rsid w:val="0066721E"/>
    <w:rsid w:val="00671748"/>
    <w:rsid w:val="006723F8"/>
    <w:rsid w:val="00673470"/>
    <w:rsid w:val="0067381B"/>
    <w:rsid w:val="00674A8F"/>
    <w:rsid w:val="00675097"/>
    <w:rsid w:val="006758B0"/>
    <w:rsid w:val="00676C10"/>
    <w:rsid w:val="00681D99"/>
    <w:rsid w:val="00682756"/>
    <w:rsid w:val="00682ABE"/>
    <w:rsid w:val="00683183"/>
    <w:rsid w:val="006832AC"/>
    <w:rsid w:val="00690063"/>
    <w:rsid w:val="00690CE5"/>
    <w:rsid w:val="00691088"/>
    <w:rsid w:val="00695440"/>
    <w:rsid w:val="006A00F5"/>
    <w:rsid w:val="006A1F0B"/>
    <w:rsid w:val="006A45A0"/>
    <w:rsid w:val="006A51D6"/>
    <w:rsid w:val="006A7BD7"/>
    <w:rsid w:val="006B054E"/>
    <w:rsid w:val="006B0DEC"/>
    <w:rsid w:val="006B2BE3"/>
    <w:rsid w:val="006B53C1"/>
    <w:rsid w:val="006B5A8E"/>
    <w:rsid w:val="006B6062"/>
    <w:rsid w:val="006B77AE"/>
    <w:rsid w:val="006B7EBE"/>
    <w:rsid w:val="006C0679"/>
    <w:rsid w:val="006C1977"/>
    <w:rsid w:val="006C3F47"/>
    <w:rsid w:val="006C525A"/>
    <w:rsid w:val="006C5620"/>
    <w:rsid w:val="006C72B6"/>
    <w:rsid w:val="006D314C"/>
    <w:rsid w:val="006D3649"/>
    <w:rsid w:val="006D6B88"/>
    <w:rsid w:val="006D6F8E"/>
    <w:rsid w:val="006E0931"/>
    <w:rsid w:val="006E099C"/>
    <w:rsid w:val="006E0BB6"/>
    <w:rsid w:val="006E4242"/>
    <w:rsid w:val="006E4EC6"/>
    <w:rsid w:val="006E72DD"/>
    <w:rsid w:val="006F1F3F"/>
    <w:rsid w:val="006F27DC"/>
    <w:rsid w:val="006F42CB"/>
    <w:rsid w:val="006F6272"/>
    <w:rsid w:val="00701575"/>
    <w:rsid w:val="00702563"/>
    <w:rsid w:val="00705C99"/>
    <w:rsid w:val="00705D48"/>
    <w:rsid w:val="00707BD4"/>
    <w:rsid w:val="007100EF"/>
    <w:rsid w:val="00714BC6"/>
    <w:rsid w:val="00715928"/>
    <w:rsid w:val="0072221F"/>
    <w:rsid w:val="00725224"/>
    <w:rsid w:val="00725975"/>
    <w:rsid w:val="0073105B"/>
    <w:rsid w:val="00731359"/>
    <w:rsid w:val="0073598B"/>
    <w:rsid w:val="00735F70"/>
    <w:rsid w:val="00736DFF"/>
    <w:rsid w:val="00746141"/>
    <w:rsid w:val="00747CB0"/>
    <w:rsid w:val="00750748"/>
    <w:rsid w:val="007514B2"/>
    <w:rsid w:val="0075188D"/>
    <w:rsid w:val="007527DC"/>
    <w:rsid w:val="00753582"/>
    <w:rsid w:val="00757F9B"/>
    <w:rsid w:val="0076263C"/>
    <w:rsid w:val="007627F5"/>
    <w:rsid w:val="00763676"/>
    <w:rsid w:val="00763942"/>
    <w:rsid w:val="00763DB2"/>
    <w:rsid w:val="00766BD9"/>
    <w:rsid w:val="007702CD"/>
    <w:rsid w:val="00770410"/>
    <w:rsid w:val="00771DDE"/>
    <w:rsid w:val="0078104A"/>
    <w:rsid w:val="007810A8"/>
    <w:rsid w:val="007831CF"/>
    <w:rsid w:val="007838A6"/>
    <w:rsid w:val="00783E23"/>
    <w:rsid w:val="00787FDC"/>
    <w:rsid w:val="007925F3"/>
    <w:rsid w:val="007A03D9"/>
    <w:rsid w:val="007A1548"/>
    <w:rsid w:val="007A1891"/>
    <w:rsid w:val="007A224A"/>
    <w:rsid w:val="007B12B2"/>
    <w:rsid w:val="007B1B64"/>
    <w:rsid w:val="007C1394"/>
    <w:rsid w:val="007C62D2"/>
    <w:rsid w:val="007C7F07"/>
    <w:rsid w:val="007D005E"/>
    <w:rsid w:val="007D1B88"/>
    <w:rsid w:val="007D4548"/>
    <w:rsid w:val="007D47F3"/>
    <w:rsid w:val="007D749C"/>
    <w:rsid w:val="007E6A9A"/>
    <w:rsid w:val="007F2B79"/>
    <w:rsid w:val="007F33D5"/>
    <w:rsid w:val="007F3F82"/>
    <w:rsid w:val="007F5753"/>
    <w:rsid w:val="008016A8"/>
    <w:rsid w:val="00801FC0"/>
    <w:rsid w:val="008026AA"/>
    <w:rsid w:val="008051C6"/>
    <w:rsid w:val="00807CF9"/>
    <w:rsid w:val="00814BAE"/>
    <w:rsid w:val="008164C4"/>
    <w:rsid w:val="008165C3"/>
    <w:rsid w:val="00817EB1"/>
    <w:rsid w:val="00820F28"/>
    <w:rsid w:val="00821E47"/>
    <w:rsid w:val="008249B5"/>
    <w:rsid w:val="008279B2"/>
    <w:rsid w:val="0083069E"/>
    <w:rsid w:val="00831647"/>
    <w:rsid w:val="008323DB"/>
    <w:rsid w:val="00834411"/>
    <w:rsid w:val="0083620C"/>
    <w:rsid w:val="00842594"/>
    <w:rsid w:val="00843642"/>
    <w:rsid w:val="008439C0"/>
    <w:rsid w:val="00843D1D"/>
    <w:rsid w:val="00843D25"/>
    <w:rsid w:val="00845647"/>
    <w:rsid w:val="00846474"/>
    <w:rsid w:val="00850B4D"/>
    <w:rsid w:val="00853218"/>
    <w:rsid w:val="00853FDA"/>
    <w:rsid w:val="008545FC"/>
    <w:rsid w:val="0085633B"/>
    <w:rsid w:val="00856F8D"/>
    <w:rsid w:val="00860ADA"/>
    <w:rsid w:val="00861CE1"/>
    <w:rsid w:val="00864146"/>
    <w:rsid w:val="00864A6E"/>
    <w:rsid w:val="008650C2"/>
    <w:rsid w:val="00866F41"/>
    <w:rsid w:val="00867CF2"/>
    <w:rsid w:val="008701CD"/>
    <w:rsid w:val="008728B4"/>
    <w:rsid w:val="00872A6D"/>
    <w:rsid w:val="00872AED"/>
    <w:rsid w:val="008740D9"/>
    <w:rsid w:val="00875A08"/>
    <w:rsid w:val="00876795"/>
    <w:rsid w:val="0087704A"/>
    <w:rsid w:val="00881F32"/>
    <w:rsid w:val="00881FEC"/>
    <w:rsid w:val="008829B6"/>
    <w:rsid w:val="00882D1B"/>
    <w:rsid w:val="0088402E"/>
    <w:rsid w:val="0088467E"/>
    <w:rsid w:val="008858A5"/>
    <w:rsid w:val="00886483"/>
    <w:rsid w:val="00886813"/>
    <w:rsid w:val="008870BC"/>
    <w:rsid w:val="00893AEC"/>
    <w:rsid w:val="008940F0"/>
    <w:rsid w:val="008945A3"/>
    <w:rsid w:val="00896E75"/>
    <w:rsid w:val="00897325"/>
    <w:rsid w:val="008A5C14"/>
    <w:rsid w:val="008A7496"/>
    <w:rsid w:val="008B0B74"/>
    <w:rsid w:val="008B2D8C"/>
    <w:rsid w:val="008B43F0"/>
    <w:rsid w:val="008B5FD4"/>
    <w:rsid w:val="008C0B2A"/>
    <w:rsid w:val="008C524C"/>
    <w:rsid w:val="008C63BF"/>
    <w:rsid w:val="008C6A62"/>
    <w:rsid w:val="008C6BB0"/>
    <w:rsid w:val="008D4A57"/>
    <w:rsid w:val="008E3ECC"/>
    <w:rsid w:val="008E5FB6"/>
    <w:rsid w:val="008F0560"/>
    <w:rsid w:val="008F2DD9"/>
    <w:rsid w:val="008F42ED"/>
    <w:rsid w:val="008F55B5"/>
    <w:rsid w:val="008F7793"/>
    <w:rsid w:val="008F7A22"/>
    <w:rsid w:val="009015BF"/>
    <w:rsid w:val="009033B4"/>
    <w:rsid w:val="00903595"/>
    <w:rsid w:val="009044DE"/>
    <w:rsid w:val="0090638C"/>
    <w:rsid w:val="009146C7"/>
    <w:rsid w:val="00914B64"/>
    <w:rsid w:val="009162C5"/>
    <w:rsid w:val="00917DDB"/>
    <w:rsid w:val="00920C14"/>
    <w:rsid w:val="009217F6"/>
    <w:rsid w:val="00925E54"/>
    <w:rsid w:val="009324CE"/>
    <w:rsid w:val="00933672"/>
    <w:rsid w:val="00934AEB"/>
    <w:rsid w:val="00934FD0"/>
    <w:rsid w:val="00935015"/>
    <w:rsid w:val="00935AFC"/>
    <w:rsid w:val="00937C25"/>
    <w:rsid w:val="0094019D"/>
    <w:rsid w:val="009431AD"/>
    <w:rsid w:val="0094647E"/>
    <w:rsid w:val="0094792A"/>
    <w:rsid w:val="00950F4F"/>
    <w:rsid w:val="00951C3F"/>
    <w:rsid w:val="00953A46"/>
    <w:rsid w:val="00956B69"/>
    <w:rsid w:val="00957C9C"/>
    <w:rsid w:val="00960603"/>
    <w:rsid w:val="009612AE"/>
    <w:rsid w:val="009624C2"/>
    <w:rsid w:val="00964751"/>
    <w:rsid w:val="009659F5"/>
    <w:rsid w:val="00966778"/>
    <w:rsid w:val="009668BD"/>
    <w:rsid w:val="00967F40"/>
    <w:rsid w:val="009714C3"/>
    <w:rsid w:val="00971849"/>
    <w:rsid w:val="00971A1A"/>
    <w:rsid w:val="00971A2E"/>
    <w:rsid w:val="0097386B"/>
    <w:rsid w:val="009747B4"/>
    <w:rsid w:val="00975C4B"/>
    <w:rsid w:val="0097683D"/>
    <w:rsid w:val="009800C2"/>
    <w:rsid w:val="00980EC6"/>
    <w:rsid w:val="00981C19"/>
    <w:rsid w:val="0098224B"/>
    <w:rsid w:val="009856F2"/>
    <w:rsid w:val="00986CDB"/>
    <w:rsid w:val="00992E12"/>
    <w:rsid w:val="009936FF"/>
    <w:rsid w:val="00995E42"/>
    <w:rsid w:val="0099750E"/>
    <w:rsid w:val="00997F5D"/>
    <w:rsid w:val="009A2B43"/>
    <w:rsid w:val="009A43FA"/>
    <w:rsid w:val="009A4B0E"/>
    <w:rsid w:val="009A50BF"/>
    <w:rsid w:val="009B46D1"/>
    <w:rsid w:val="009B4C84"/>
    <w:rsid w:val="009B4FCA"/>
    <w:rsid w:val="009B5208"/>
    <w:rsid w:val="009B77BC"/>
    <w:rsid w:val="009C1009"/>
    <w:rsid w:val="009C6C27"/>
    <w:rsid w:val="009D2A82"/>
    <w:rsid w:val="009D412E"/>
    <w:rsid w:val="009D5D02"/>
    <w:rsid w:val="009E23E7"/>
    <w:rsid w:val="009F150B"/>
    <w:rsid w:val="009F5D43"/>
    <w:rsid w:val="009F62AC"/>
    <w:rsid w:val="00A05757"/>
    <w:rsid w:val="00A061FC"/>
    <w:rsid w:val="00A110E0"/>
    <w:rsid w:val="00A11374"/>
    <w:rsid w:val="00A143AA"/>
    <w:rsid w:val="00A14C9D"/>
    <w:rsid w:val="00A157F8"/>
    <w:rsid w:val="00A209CF"/>
    <w:rsid w:val="00A22C02"/>
    <w:rsid w:val="00A22DCD"/>
    <w:rsid w:val="00A2348C"/>
    <w:rsid w:val="00A25ADC"/>
    <w:rsid w:val="00A25ED5"/>
    <w:rsid w:val="00A26B09"/>
    <w:rsid w:val="00A26CC7"/>
    <w:rsid w:val="00A31441"/>
    <w:rsid w:val="00A31ADE"/>
    <w:rsid w:val="00A33D28"/>
    <w:rsid w:val="00A36781"/>
    <w:rsid w:val="00A412D3"/>
    <w:rsid w:val="00A41867"/>
    <w:rsid w:val="00A41A22"/>
    <w:rsid w:val="00A41ED6"/>
    <w:rsid w:val="00A42AEE"/>
    <w:rsid w:val="00A469F5"/>
    <w:rsid w:val="00A46D9F"/>
    <w:rsid w:val="00A4716D"/>
    <w:rsid w:val="00A500B9"/>
    <w:rsid w:val="00A51DD0"/>
    <w:rsid w:val="00A57651"/>
    <w:rsid w:val="00A57D9A"/>
    <w:rsid w:val="00A60579"/>
    <w:rsid w:val="00A60EC1"/>
    <w:rsid w:val="00A61897"/>
    <w:rsid w:val="00A67BFE"/>
    <w:rsid w:val="00A67E0F"/>
    <w:rsid w:val="00A73074"/>
    <w:rsid w:val="00A748F6"/>
    <w:rsid w:val="00A77517"/>
    <w:rsid w:val="00A82902"/>
    <w:rsid w:val="00A8533A"/>
    <w:rsid w:val="00A85C4C"/>
    <w:rsid w:val="00A87363"/>
    <w:rsid w:val="00A914AF"/>
    <w:rsid w:val="00A91D54"/>
    <w:rsid w:val="00A9265B"/>
    <w:rsid w:val="00A92E98"/>
    <w:rsid w:val="00A95339"/>
    <w:rsid w:val="00A968E1"/>
    <w:rsid w:val="00A977B2"/>
    <w:rsid w:val="00AA06FF"/>
    <w:rsid w:val="00AA474B"/>
    <w:rsid w:val="00AA4951"/>
    <w:rsid w:val="00AA5291"/>
    <w:rsid w:val="00AA7B6C"/>
    <w:rsid w:val="00AB05DD"/>
    <w:rsid w:val="00AC12EB"/>
    <w:rsid w:val="00AC2BB8"/>
    <w:rsid w:val="00AC4CBE"/>
    <w:rsid w:val="00AC5AD3"/>
    <w:rsid w:val="00AC7960"/>
    <w:rsid w:val="00AD0C31"/>
    <w:rsid w:val="00AD4C5D"/>
    <w:rsid w:val="00AD6D0A"/>
    <w:rsid w:val="00AD7334"/>
    <w:rsid w:val="00AD7792"/>
    <w:rsid w:val="00AE369B"/>
    <w:rsid w:val="00AE3F19"/>
    <w:rsid w:val="00AE7F8D"/>
    <w:rsid w:val="00AF01AB"/>
    <w:rsid w:val="00AF07BF"/>
    <w:rsid w:val="00AF3A68"/>
    <w:rsid w:val="00AF437C"/>
    <w:rsid w:val="00AF48DC"/>
    <w:rsid w:val="00AF496C"/>
    <w:rsid w:val="00AF5771"/>
    <w:rsid w:val="00AF5E67"/>
    <w:rsid w:val="00B02ABF"/>
    <w:rsid w:val="00B03504"/>
    <w:rsid w:val="00B0451B"/>
    <w:rsid w:val="00B05FA7"/>
    <w:rsid w:val="00B06618"/>
    <w:rsid w:val="00B06788"/>
    <w:rsid w:val="00B06858"/>
    <w:rsid w:val="00B07991"/>
    <w:rsid w:val="00B10C11"/>
    <w:rsid w:val="00B128DB"/>
    <w:rsid w:val="00B137CA"/>
    <w:rsid w:val="00B14AF4"/>
    <w:rsid w:val="00B15B9D"/>
    <w:rsid w:val="00B15BFA"/>
    <w:rsid w:val="00B174D2"/>
    <w:rsid w:val="00B20814"/>
    <w:rsid w:val="00B20A11"/>
    <w:rsid w:val="00B20C0B"/>
    <w:rsid w:val="00B20E25"/>
    <w:rsid w:val="00B21292"/>
    <w:rsid w:val="00B2299C"/>
    <w:rsid w:val="00B234C8"/>
    <w:rsid w:val="00B25447"/>
    <w:rsid w:val="00B25A8B"/>
    <w:rsid w:val="00B304EE"/>
    <w:rsid w:val="00B31875"/>
    <w:rsid w:val="00B32131"/>
    <w:rsid w:val="00B33DEA"/>
    <w:rsid w:val="00B362B3"/>
    <w:rsid w:val="00B36345"/>
    <w:rsid w:val="00B42E79"/>
    <w:rsid w:val="00B4368B"/>
    <w:rsid w:val="00B44743"/>
    <w:rsid w:val="00B46161"/>
    <w:rsid w:val="00B47023"/>
    <w:rsid w:val="00B4736F"/>
    <w:rsid w:val="00B514DE"/>
    <w:rsid w:val="00B51FC0"/>
    <w:rsid w:val="00B52E0C"/>
    <w:rsid w:val="00B52E3D"/>
    <w:rsid w:val="00B52F58"/>
    <w:rsid w:val="00B5514A"/>
    <w:rsid w:val="00B55C36"/>
    <w:rsid w:val="00B56059"/>
    <w:rsid w:val="00B61115"/>
    <w:rsid w:val="00B65E61"/>
    <w:rsid w:val="00B674A6"/>
    <w:rsid w:val="00B7209F"/>
    <w:rsid w:val="00B72258"/>
    <w:rsid w:val="00B736D0"/>
    <w:rsid w:val="00B738E8"/>
    <w:rsid w:val="00B73F7F"/>
    <w:rsid w:val="00B77012"/>
    <w:rsid w:val="00B82477"/>
    <w:rsid w:val="00B827B6"/>
    <w:rsid w:val="00B83A04"/>
    <w:rsid w:val="00B83A90"/>
    <w:rsid w:val="00B854CF"/>
    <w:rsid w:val="00B85CCE"/>
    <w:rsid w:val="00B90678"/>
    <w:rsid w:val="00B92ABE"/>
    <w:rsid w:val="00B938EC"/>
    <w:rsid w:val="00B97716"/>
    <w:rsid w:val="00BA0122"/>
    <w:rsid w:val="00BA3702"/>
    <w:rsid w:val="00BB1337"/>
    <w:rsid w:val="00BB15A3"/>
    <w:rsid w:val="00BB55BE"/>
    <w:rsid w:val="00BB6183"/>
    <w:rsid w:val="00BC264E"/>
    <w:rsid w:val="00BC3CF5"/>
    <w:rsid w:val="00BC4B29"/>
    <w:rsid w:val="00BD1915"/>
    <w:rsid w:val="00BD4D60"/>
    <w:rsid w:val="00BE00F2"/>
    <w:rsid w:val="00BE237D"/>
    <w:rsid w:val="00BE25A6"/>
    <w:rsid w:val="00BE34A0"/>
    <w:rsid w:val="00BE3894"/>
    <w:rsid w:val="00BF112B"/>
    <w:rsid w:val="00BF39B8"/>
    <w:rsid w:val="00BF4CA1"/>
    <w:rsid w:val="00BF5723"/>
    <w:rsid w:val="00BF5BEB"/>
    <w:rsid w:val="00BF5F85"/>
    <w:rsid w:val="00C00BBD"/>
    <w:rsid w:val="00C02238"/>
    <w:rsid w:val="00C02CB4"/>
    <w:rsid w:val="00C032EE"/>
    <w:rsid w:val="00C0661C"/>
    <w:rsid w:val="00C06783"/>
    <w:rsid w:val="00C07751"/>
    <w:rsid w:val="00C1153C"/>
    <w:rsid w:val="00C1314D"/>
    <w:rsid w:val="00C13ACC"/>
    <w:rsid w:val="00C14EB5"/>
    <w:rsid w:val="00C16C6F"/>
    <w:rsid w:val="00C16ED6"/>
    <w:rsid w:val="00C22B6E"/>
    <w:rsid w:val="00C30927"/>
    <w:rsid w:val="00C331BF"/>
    <w:rsid w:val="00C3327E"/>
    <w:rsid w:val="00C34A13"/>
    <w:rsid w:val="00C35AD2"/>
    <w:rsid w:val="00C42D2A"/>
    <w:rsid w:val="00C43A63"/>
    <w:rsid w:val="00C44546"/>
    <w:rsid w:val="00C449C9"/>
    <w:rsid w:val="00C46FEB"/>
    <w:rsid w:val="00C539DF"/>
    <w:rsid w:val="00C53DE5"/>
    <w:rsid w:val="00C57348"/>
    <w:rsid w:val="00C61DAD"/>
    <w:rsid w:val="00C6353C"/>
    <w:rsid w:val="00C64B6E"/>
    <w:rsid w:val="00C65AED"/>
    <w:rsid w:val="00C65E2B"/>
    <w:rsid w:val="00C70A85"/>
    <w:rsid w:val="00C75939"/>
    <w:rsid w:val="00C7608D"/>
    <w:rsid w:val="00C77A72"/>
    <w:rsid w:val="00C8082A"/>
    <w:rsid w:val="00C85A53"/>
    <w:rsid w:val="00C90B31"/>
    <w:rsid w:val="00C927E9"/>
    <w:rsid w:val="00C92997"/>
    <w:rsid w:val="00C93258"/>
    <w:rsid w:val="00C963A7"/>
    <w:rsid w:val="00CA03C4"/>
    <w:rsid w:val="00CA144D"/>
    <w:rsid w:val="00CA2BC2"/>
    <w:rsid w:val="00CA3347"/>
    <w:rsid w:val="00CA389A"/>
    <w:rsid w:val="00CA641F"/>
    <w:rsid w:val="00CA6482"/>
    <w:rsid w:val="00CA6A2A"/>
    <w:rsid w:val="00CA6EFB"/>
    <w:rsid w:val="00CB03B6"/>
    <w:rsid w:val="00CB1048"/>
    <w:rsid w:val="00CB2083"/>
    <w:rsid w:val="00CB2197"/>
    <w:rsid w:val="00CB5647"/>
    <w:rsid w:val="00CB7D4C"/>
    <w:rsid w:val="00CC16E0"/>
    <w:rsid w:val="00CC2737"/>
    <w:rsid w:val="00CC2B56"/>
    <w:rsid w:val="00CC31CE"/>
    <w:rsid w:val="00CC3D9A"/>
    <w:rsid w:val="00CD48C8"/>
    <w:rsid w:val="00CD6B75"/>
    <w:rsid w:val="00CD7B5E"/>
    <w:rsid w:val="00CE25F8"/>
    <w:rsid w:val="00CE29B9"/>
    <w:rsid w:val="00CE7B77"/>
    <w:rsid w:val="00CF1031"/>
    <w:rsid w:val="00CF164D"/>
    <w:rsid w:val="00CF182B"/>
    <w:rsid w:val="00CF2043"/>
    <w:rsid w:val="00CF6692"/>
    <w:rsid w:val="00CF6C75"/>
    <w:rsid w:val="00CF6FC3"/>
    <w:rsid w:val="00CF754A"/>
    <w:rsid w:val="00D0062E"/>
    <w:rsid w:val="00D02443"/>
    <w:rsid w:val="00D05749"/>
    <w:rsid w:val="00D10A32"/>
    <w:rsid w:val="00D14C6A"/>
    <w:rsid w:val="00D17DE1"/>
    <w:rsid w:val="00D20907"/>
    <w:rsid w:val="00D21FAE"/>
    <w:rsid w:val="00D22449"/>
    <w:rsid w:val="00D226A6"/>
    <w:rsid w:val="00D22C76"/>
    <w:rsid w:val="00D245B3"/>
    <w:rsid w:val="00D30860"/>
    <w:rsid w:val="00D3154A"/>
    <w:rsid w:val="00D31F4A"/>
    <w:rsid w:val="00D329CF"/>
    <w:rsid w:val="00D3591B"/>
    <w:rsid w:val="00D3608A"/>
    <w:rsid w:val="00D36356"/>
    <w:rsid w:val="00D41339"/>
    <w:rsid w:val="00D419BE"/>
    <w:rsid w:val="00D424F3"/>
    <w:rsid w:val="00D42BEE"/>
    <w:rsid w:val="00D442E6"/>
    <w:rsid w:val="00D4558A"/>
    <w:rsid w:val="00D457C6"/>
    <w:rsid w:val="00D5237B"/>
    <w:rsid w:val="00D536A8"/>
    <w:rsid w:val="00D55415"/>
    <w:rsid w:val="00D63D37"/>
    <w:rsid w:val="00D65C9A"/>
    <w:rsid w:val="00D6742C"/>
    <w:rsid w:val="00D77926"/>
    <w:rsid w:val="00D818E9"/>
    <w:rsid w:val="00D8319D"/>
    <w:rsid w:val="00D84412"/>
    <w:rsid w:val="00D85683"/>
    <w:rsid w:val="00D86229"/>
    <w:rsid w:val="00D869EF"/>
    <w:rsid w:val="00D87FDF"/>
    <w:rsid w:val="00D906F3"/>
    <w:rsid w:val="00D90A11"/>
    <w:rsid w:val="00D914C6"/>
    <w:rsid w:val="00D91B18"/>
    <w:rsid w:val="00D926A2"/>
    <w:rsid w:val="00D940BC"/>
    <w:rsid w:val="00D97DB6"/>
    <w:rsid w:val="00DA1BFE"/>
    <w:rsid w:val="00DA2780"/>
    <w:rsid w:val="00DA2DF4"/>
    <w:rsid w:val="00DA42F0"/>
    <w:rsid w:val="00DA5AC7"/>
    <w:rsid w:val="00DB150D"/>
    <w:rsid w:val="00DB16A1"/>
    <w:rsid w:val="00DB1BD1"/>
    <w:rsid w:val="00DB6910"/>
    <w:rsid w:val="00DC10EB"/>
    <w:rsid w:val="00DC1630"/>
    <w:rsid w:val="00DC48A9"/>
    <w:rsid w:val="00DC51BF"/>
    <w:rsid w:val="00DC5B82"/>
    <w:rsid w:val="00DC5BEE"/>
    <w:rsid w:val="00DC7EAB"/>
    <w:rsid w:val="00DD4215"/>
    <w:rsid w:val="00DE2516"/>
    <w:rsid w:val="00DE3077"/>
    <w:rsid w:val="00DE43EC"/>
    <w:rsid w:val="00DE620C"/>
    <w:rsid w:val="00DE6FB9"/>
    <w:rsid w:val="00DF14C0"/>
    <w:rsid w:val="00DF22DA"/>
    <w:rsid w:val="00DF258F"/>
    <w:rsid w:val="00DF3515"/>
    <w:rsid w:val="00DF485F"/>
    <w:rsid w:val="00DF6200"/>
    <w:rsid w:val="00DF6B1A"/>
    <w:rsid w:val="00DF770B"/>
    <w:rsid w:val="00E02F5A"/>
    <w:rsid w:val="00E0626E"/>
    <w:rsid w:val="00E067F6"/>
    <w:rsid w:val="00E07569"/>
    <w:rsid w:val="00E07BDF"/>
    <w:rsid w:val="00E11B8C"/>
    <w:rsid w:val="00E12533"/>
    <w:rsid w:val="00E126DD"/>
    <w:rsid w:val="00E13BA3"/>
    <w:rsid w:val="00E15D5A"/>
    <w:rsid w:val="00E16186"/>
    <w:rsid w:val="00E16A7D"/>
    <w:rsid w:val="00E208C6"/>
    <w:rsid w:val="00E22282"/>
    <w:rsid w:val="00E231B5"/>
    <w:rsid w:val="00E23F82"/>
    <w:rsid w:val="00E24950"/>
    <w:rsid w:val="00E25352"/>
    <w:rsid w:val="00E266A4"/>
    <w:rsid w:val="00E30D1B"/>
    <w:rsid w:val="00E31B4F"/>
    <w:rsid w:val="00E328A5"/>
    <w:rsid w:val="00E3309E"/>
    <w:rsid w:val="00E33963"/>
    <w:rsid w:val="00E36446"/>
    <w:rsid w:val="00E369BA"/>
    <w:rsid w:val="00E403FD"/>
    <w:rsid w:val="00E406DA"/>
    <w:rsid w:val="00E41161"/>
    <w:rsid w:val="00E44E67"/>
    <w:rsid w:val="00E454D9"/>
    <w:rsid w:val="00E46493"/>
    <w:rsid w:val="00E512FC"/>
    <w:rsid w:val="00E516F5"/>
    <w:rsid w:val="00E52E20"/>
    <w:rsid w:val="00E56FFA"/>
    <w:rsid w:val="00E642BE"/>
    <w:rsid w:val="00E650EF"/>
    <w:rsid w:val="00E66618"/>
    <w:rsid w:val="00E67F46"/>
    <w:rsid w:val="00E706FA"/>
    <w:rsid w:val="00E70EC9"/>
    <w:rsid w:val="00E72827"/>
    <w:rsid w:val="00E736EB"/>
    <w:rsid w:val="00E73A7B"/>
    <w:rsid w:val="00E74D02"/>
    <w:rsid w:val="00E811EF"/>
    <w:rsid w:val="00E8141D"/>
    <w:rsid w:val="00E8187F"/>
    <w:rsid w:val="00E83904"/>
    <w:rsid w:val="00E8683B"/>
    <w:rsid w:val="00E86908"/>
    <w:rsid w:val="00E87F23"/>
    <w:rsid w:val="00E90466"/>
    <w:rsid w:val="00E906C0"/>
    <w:rsid w:val="00E927E9"/>
    <w:rsid w:val="00E951FA"/>
    <w:rsid w:val="00EA1498"/>
    <w:rsid w:val="00EA1977"/>
    <w:rsid w:val="00EA1C4D"/>
    <w:rsid w:val="00EA27B9"/>
    <w:rsid w:val="00EA29D9"/>
    <w:rsid w:val="00EA4316"/>
    <w:rsid w:val="00EA6003"/>
    <w:rsid w:val="00EA7433"/>
    <w:rsid w:val="00EA79FF"/>
    <w:rsid w:val="00EB185F"/>
    <w:rsid w:val="00EB197F"/>
    <w:rsid w:val="00EB266C"/>
    <w:rsid w:val="00EB4334"/>
    <w:rsid w:val="00EB44FA"/>
    <w:rsid w:val="00EB4E20"/>
    <w:rsid w:val="00EB5942"/>
    <w:rsid w:val="00EB7314"/>
    <w:rsid w:val="00EC2157"/>
    <w:rsid w:val="00EC2B74"/>
    <w:rsid w:val="00EC346D"/>
    <w:rsid w:val="00EC4C1F"/>
    <w:rsid w:val="00EC5269"/>
    <w:rsid w:val="00EC696C"/>
    <w:rsid w:val="00EC7CD9"/>
    <w:rsid w:val="00ED1FEB"/>
    <w:rsid w:val="00ED6885"/>
    <w:rsid w:val="00ED6D7B"/>
    <w:rsid w:val="00EE0703"/>
    <w:rsid w:val="00EE1C54"/>
    <w:rsid w:val="00EE3B1E"/>
    <w:rsid w:val="00EE3EC4"/>
    <w:rsid w:val="00EF0C07"/>
    <w:rsid w:val="00EF23D0"/>
    <w:rsid w:val="00EF26D2"/>
    <w:rsid w:val="00EF287B"/>
    <w:rsid w:val="00EF374D"/>
    <w:rsid w:val="00EF3D5C"/>
    <w:rsid w:val="00EF450E"/>
    <w:rsid w:val="00EF5387"/>
    <w:rsid w:val="00EF75BD"/>
    <w:rsid w:val="00F015DF"/>
    <w:rsid w:val="00F030F6"/>
    <w:rsid w:val="00F07E3F"/>
    <w:rsid w:val="00F12316"/>
    <w:rsid w:val="00F14A8E"/>
    <w:rsid w:val="00F203E7"/>
    <w:rsid w:val="00F20E4D"/>
    <w:rsid w:val="00F21315"/>
    <w:rsid w:val="00F22017"/>
    <w:rsid w:val="00F229BE"/>
    <w:rsid w:val="00F2307C"/>
    <w:rsid w:val="00F23418"/>
    <w:rsid w:val="00F249CC"/>
    <w:rsid w:val="00F307CC"/>
    <w:rsid w:val="00F32FE7"/>
    <w:rsid w:val="00F3566C"/>
    <w:rsid w:val="00F36C7A"/>
    <w:rsid w:val="00F3731D"/>
    <w:rsid w:val="00F37484"/>
    <w:rsid w:val="00F375AF"/>
    <w:rsid w:val="00F4096D"/>
    <w:rsid w:val="00F42F7F"/>
    <w:rsid w:val="00F435AB"/>
    <w:rsid w:val="00F43BF3"/>
    <w:rsid w:val="00F43FA2"/>
    <w:rsid w:val="00F44CA7"/>
    <w:rsid w:val="00F45BEB"/>
    <w:rsid w:val="00F465DE"/>
    <w:rsid w:val="00F5171B"/>
    <w:rsid w:val="00F52722"/>
    <w:rsid w:val="00F54083"/>
    <w:rsid w:val="00F555F8"/>
    <w:rsid w:val="00F56ED0"/>
    <w:rsid w:val="00F620F1"/>
    <w:rsid w:val="00F64477"/>
    <w:rsid w:val="00F65D1F"/>
    <w:rsid w:val="00F67E7D"/>
    <w:rsid w:val="00F7240A"/>
    <w:rsid w:val="00F7711D"/>
    <w:rsid w:val="00F814B3"/>
    <w:rsid w:val="00F81B34"/>
    <w:rsid w:val="00F81D3B"/>
    <w:rsid w:val="00F876C5"/>
    <w:rsid w:val="00F9072E"/>
    <w:rsid w:val="00F95B48"/>
    <w:rsid w:val="00F97AD1"/>
    <w:rsid w:val="00FA25A4"/>
    <w:rsid w:val="00FA38F4"/>
    <w:rsid w:val="00FA41BC"/>
    <w:rsid w:val="00FA4B41"/>
    <w:rsid w:val="00FA7F40"/>
    <w:rsid w:val="00FB02CF"/>
    <w:rsid w:val="00FB19F7"/>
    <w:rsid w:val="00FB2028"/>
    <w:rsid w:val="00FB370A"/>
    <w:rsid w:val="00FB3F53"/>
    <w:rsid w:val="00FB4244"/>
    <w:rsid w:val="00FB682D"/>
    <w:rsid w:val="00FC146C"/>
    <w:rsid w:val="00FC23D0"/>
    <w:rsid w:val="00FC2B42"/>
    <w:rsid w:val="00FC4E0C"/>
    <w:rsid w:val="00FC729A"/>
    <w:rsid w:val="00FD117F"/>
    <w:rsid w:val="00FD134C"/>
    <w:rsid w:val="00FD2842"/>
    <w:rsid w:val="00FD65F7"/>
    <w:rsid w:val="00FD6D2B"/>
    <w:rsid w:val="00FD7C04"/>
    <w:rsid w:val="00FE07F1"/>
    <w:rsid w:val="00FE199A"/>
    <w:rsid w:val="00FE1B94"/>
    <w:rsid w:val="00FE4E8C"/>
    <w:rsid w:val="00FE4ED4"/>
    <w:rsid w:val="00FE6E88"/>
    <w:rsid w:val="00FE7CFA"/>
    <w:rsid w:val="00FF2494"/>
    <w:rsid w:val="00FF4C1B"/>
    <w:rsid w:val="00FF541A"/>
    <w:rsid w:val="015542D0"/>
    <w:rsid w:val="017311EE"/>
    <w:rsid w:val="01756381"/>
    <w:rsid w:val="01783E7C"/>
    <w:rsid w:val="01AC2FA3"/>
    <w:rsid w:val="01DF49C6"/>
    <w:rsid w:val="01EE58FF"/>
    <w:rsid w:val="01EF7236"/>
    <w:rsid w:val="01F86308"/>
    <w:rsid w:val="0204328A"/>
    <w:rsid w:val="020A3CFF"/>
    <w:rsid w:val="022A42B5"/>
    <w:rsid w:val="022B2492"/>
    <w:rsid w:val="022C24DC"/>
    <w:rsid w:val="023B6A38"/>
    <w:rsid w:val="025A3A6A"/>
    <w:rsid w:val="025C3FDF"/>
    <w:rsid w:val="025E466E"/>
    <w:rsid w:val="029D777A"/>
    <w:rsid w:val="02E72771"/>
    <w:rsid w:val="03107DE2"/>
    <w:rsid w:val="032A2ABD"/>
    <w:rsid w:val="0348084C"/>
    <w:rsid w:val="03595B8B"/>
    <w:rsid w:val="035B3A6F"/>
    <w:rsid w:val="037473BD"/>
    <w:rsid w:val="03A06508"/>
    <w:rsid w:val="03B62428"/>
    <w:rsid w:val="03CB0448"/>
    <w:rsid w:val="03DD6CD8"/>
    <w:rsid w:val="04090CD8"/>
    <w:rsid w:val="04097F2D"/>
    <w:rsid w:val="041056B0"/>
    <w:rsid w:val="043E7102"/>
    <w:rsid w:val="04583195"/>
    <w:rsid w:val="045E1BB5"/>
    <w:rsid w:val="047A6755"/>
    <w:rsid w:val="048A7E77"/>
    <w:rsid w:val="048D5F88"/>
    <w:rsid w:val="04C24D52"/>
    <w:rsid w:val="05027BCC"/>
    <w:rsid w:val="05035BC7"/>
    <w:rsid w:val="0529077D"/>
    <w:rsid w:val="052F448C"/>
    <w:rsid w:val="054D6386"/>
    <w:rsid w:val="05527E10"/>
    <w:rsid w:val="055D755A"/>
    <w:rsid w:val="05AC15EA"/>
    <w:rsid w:val="05BC3DEE"/>
    <w:rsid w:val="05C0716C"/>
    <w:rsid w:val="05EF3A16"/>
    <w:rsid w:val="061A59CD"/>
    <w:rsid w:val="062557B1"/>
    <w:rsid w:val="062A342B"/>
    <w:rsid w:val="06300CB5"/>
    <w:rsid w:val="067466D6"/>
    <w:rsid w:val="06881F1F"/>
    <w:rsid w:val="0692233C"/>
    <w:rsid w:val="069A2942"/>
    <w:rsid w:val="06F33B6A"/>
    <w:rsid w:val="073E7A70"/>
    <w:rsid w:val="0763442C"/>
    <w:rsid w:val="07807468"/>
    <w:rsid w:val="07836C7E"/>
    <w:rsid w:val="078B6F92"/>
    <w:rsid w:val="07911A78"/>
    <w:rsid w:val="07C975D2"/>
    <w:rsid w:val="07CA50D5"/>
    <w:rsid w:val="07F308FA"/>
    <w:rsid w:val="080144EE"/>
    <w:rsid w:val="082F0644"/>
    <w:rsid w:val="085D4644"/>
    <w:rsid w:val="087C4EF9"/>
    <w:rsid w:val="088A5836"/>
    <w:rsid w:val="08A6157D"/>
    <w:rsid w:val="08BA0261"/>
    <w:rsid w:val="08D7697F"/>
    <w:rsid w:val="090F1EE9"/>
    <w:rsid w:val="097B289D"/>
    <w:rsid w:val="09A97779"/>
    <w:rsid w:val="09DA03C3"/>
    <w:rsid w:val="09EE5EB9"/>
    <w:rsid w:val="0A023464"/>
    <w:rsid w:val="0A0E2B49"/>
    <w:rsid w:val="0A1B49A5"/>
    <w:rsid w:val="0A362FD0"/>
    <w:rsid w:val="0A4E4DF4"/>
    <w:rsid w:val="0A501B49"/>
    <w:rsid w:val="0AE75F2D"/>
    <w:rsid w:val="0AFC41F5"/>
    <w:rsid w:val="0B026E81"/>
    <w:rsid w:val="0B1C1FC9"/>
    <w:rsid w:val="0B362B73"/>
    <w:rsid w:val="0B4727E6"/>
    <w:rsid w:val="0B5A2757"/>
    <w:rsid w:val="0B7A0EE4"/>
    <w:rsid w:val="0B8710A3"/>
    <w:rsid w:val="0B991A57"/>
    <w:rsid w:val="0BE905B7"/>
    <w:rsid w:val="0BFA3CD0"/>
    <w:rsid w:val="0BFD5013"/>
    <w:rsid w:val="0C054A41"/>
    <w:rsid w:val="0C10243B"/>
    <w:rsid w:val="0C31439F"/>
    <w:rsid w:val="0CA31B82"/>
    <w:rsid w:val="0CF91C8E"/>
    <w:rsid w:val="0D0B0982"/>
    <w:rsid w:val="0D1C3807"/>
    <w:rsid w:val="0D22251E"/>
    <w:rsid w:val="0D2F5440"/>
    <w:rsid w:val="0D486F4F"/>
    <w:rsid w:val="0D5D37FD"/>
    <w:rsid w:val="0DA642D7"/>
    <w:rsid w:val="0DB65ED4"/>
    <w:rsid w:val="0DCE7050"/>
    <w:rsid w:val="0DD53A08"/>
    <w:rsid w:val="0DF748F5"/>
    <w:rsid w:val="0DF854C2"/>
    <w:rsid w:val="0E411400"/>
    <w:rsid w:val="0E787F1E"/>
    <w:rsid w:val="0E7F537C"/>
    <w:rsid w:val="0E8E3B6F"/>
    <w:rsid w:val="0E9037D8"/>
    <w:rsid w:val="0EDD23CA"/>
    <w:rsid w:val="0F0373B1"/>
    <w:rsid w:val="0F0D1866"/>
    <w:rsid w:val="0F1C6C56"/>
    <w:rsid w:val="0F2B146F"/>
    <w:rsid w:val="0F2B69CE"/>
    <w:rsid w:val="0F2F4398"/>
    <w:rsid w:val="0F354EF6"/>
    <w:rsid w:val="0F3F205B"/>
    <w:rsid w:val="0F503C2D"/>
    <w:rsid w:val="0F7718EE"/>
    <w:rsid w:val="0FCC6DFA"/>
    <w:rsid w:val="0FEB18AD"/>
    <w:rsid w:val="10271514"/>
    <w:rsid w:val="103225F6"/>
    <w:rsid w:val="10844959"/>
    <w:rsid w:val="108F6D0F"/>
    <w:rsid w:val="10BE6093"/>
    <w:rsid w:val="10D11128"/>
    <w:rsid w:val="10EE01D6"/>
    <w:rsid w:val="10F2723F"/>
    <w:rsid w:val="10F51D5F"/>
    <w:rsid w:val="11296D36"/>
    <w:rsid w:val="113605CA"/>
    <w:rsid w:val="11361757"/>
    <w:rsid w:val="1152028B"/>
    <w:rsid w:val="11566901"/>
    <w:rsid w:val="11A0770F"/>
    <w:rsid w:val="11E80E0C"/>
    <w:rsid w:val="11F12EFC"/>
    <w:rsid w:val="11FE5738"/>
    <w:rsid w:val="121071F3"/>
    <w:rsid w:val="1211714B"/>
    <w:rsid w:val="12131E5E"/>
    <w:rsid w:val="123910DE"/>
    <w:rsid w:val="12467DC1"/>
    <w:rsid w:val="124C2311"/>
    <w:rsid w:val="12597F90"/>
    <w:rsid w:val="125D19F9"/>
    <w:rsid w:val="127F4F15"/>
    <w:rsid w:val="129F3F21"/>
    <w:rsid w:val="12A365A3"/>
    <w:rsid w:val="12B0641B"/>
    <w:rsid w:val="12B917F9"/>
    <w:rsid w:val="13406C0A"/>
    <w:rsid w:val="13491D42"/>
    <w:rsid w:val="135F6956"/>
    <w:rsid w:val="138C6458"/>
    <w:rsid w:val="13B819AF"/>
    <w:rsid w:val="13C540FC"/>
    <w:rsid w:val="13E00FCA"/>
    <w:rsid w:val="13E70D13"/>
    <w:rsid w:val="13F25EC4"/>
    <w:rsid w:val="14062257"/>
    <w:rsid w:val="14067873"/>
    <w:rsid w:val="14131C7C"/>
    <w:rsid w:val="143A1B3C"/>
    <w:rsid w:val="145278C9"/>
    <w:rsid w:val="14915DCE"/>
    <w:rsid w:val="14C1627A"/>
    <w:rsid w:val="14CD013D"/>
    <w:rsid w:val="14D02F53"/>
    <w:rsid w:val="14D3070B"/>
    <w:rsid w:val="14F74AE1"/>
    <w:rsid w:val="1554782A"/>
    <w:rsid w:val="15620E57"/>
    <w:rsid w:val="15BE553B"/>
    <w:rsid w:val="15C63F1F"/>
    <w:rsid w:val="15D70448"/>
    <w:rsid w:val="15E67545"/>
    <w:rsid w:val="15F34710"/>
    <w:rsid w:val="16177D77"/>
    <w:rsid w:val="16676D8A"/>
    <w:rsid w:val="167D0F0F"/>
    <w:rsid w:val="16AF6D77"/>
    <w:rsid w:val="16CF735A"/>
    <w:rsid w:val="16E60821"/>
    <w:rsid w:val="170E28DF"/>
    <w:rsid w:val="17213AFE"/>
    <w:rsid w:val="175D5A54"/>
    <w:rsid w:val="17E72EB7"/>
    <w:rsid w:val="17E93838"/>
    <w:rsid w:val="181F327E"/>
    <w:rsid w:val="1831702C"/>
    <w:rsid w:val="18517A73"/>
    <w:rsid w:val="18672878"/>
    <w:rsid w:val="188C4F3D"/>
    <w:rsid w:val="18D90CBA"/>
    <w:rsid w:val="18FA19C0"/>
    <w:rsid w:val="191861B7"/>
    <w:rsid w:val="1A0C35CC"/>
    <w:rsid w:val="1A3C2E87"/>
    <w:rsid w:val="1A3F729E"/>
    <w:rsid w:val="1A501737"/>
    <w:rsid w:val="1A5823C6"/>
    <w:rsid w:val="1A5C3947"/>
    <w:rsid w:val="1A6177ED"/>
    <w:rsid w:val="1A992E30"/>
    <w:rsid w:val="1ACB4904"/>
    <w:rsid w:val="1AF30046"/>
    <w:rsid w:val="1B087DFB"/>
    <w:rsid w:val="1B135774"/>
    <w:rsid w:val="1B296AA5"/>
    <w:rsid w:val="1B4667CC"/>
    <w:rsid w:val="1B5228DC"/>
    <w:rsid w:val="1B7B5C25"/>
    <w:rsid w:val="1B7F7C2A"/>
    <w:rsid w:val="1B877235"/>
    <w:rsid w:val="1BA47E6A"/>
    <w:rsid w:val="1BB116FE"/>
    <w:rsid w:val="1BBC21A6"/>
    <w:rsid w:val="1BDC0955"/>
    <w:rsid w:val="1BFF5495"/>
    <w:rsid w:val="1C095FEA"/>
    <w:rsid w:val="1C0D196C"/>
    <w:rsid w:val="1C787E42"/>
    <w:rsid w:val="1C7C3731"/>
    <w:rsid w:val="1C8B7D6D"/>
    <w:rsid w:val="1C9F5B04"/>
    <w:rsid w:val="1CB9204A"/>
    <w:rsid w:val="1D0A11BA"/>
    <w:rsid w:val="1D0E53E2"/>
    <w:rsid w:val="1D21385E"/>
    <w:rsid w:val="1D272F9B"/>
    <w:rsid w:val="1D274763"/>
    <w:rsid w:val="1D294C20"/>
    <w:rsid w:val="1D311285"/>
    <w:rsid w:val="1D4B4FD0"/>
    <w:rsid w:val="1D8E0CDD"/>
    <w:rsid w:val="1DA44AEE"/>
    <w:rsid w:val="1DA62AB3"/>
    <w:rsid w:val="1DAB332B"/>
    <w:rsid w:val="1DAE7EBF"/>
    <w:rsid w:val="1DBD26D8"/>
    <w:rsid w:val="1DCD4EF1"/>
    <w:rsid w:val="1E2E11D2"/>
    <w:rsid w:val="1E4110B6"/>
    <w:rsid w:val="1E6A6166"/>
    <w:rsid w:val="1E800217"/>
    <w:rsid w:val="1E9A0DC1"/>
    <w:rsid w:val="1EB02D8F"/>
    <w:rsid w:val="1EE03DD2"/>
    <w:rsid w:val="1EE61B73"/>
    <w:rsid w:val="1EF406E6"/>
    <w:rsid w:val="1F046272"/>
    <w:rsid w:val="1F412854"/>
    <w:rsid w:val="1F4643DC"/>
    <w:rsid w:val="1F5472F6"/>
    <w:rsid w:val="1FAB0175"/>
    <w:rsid w:val="1FB37310"/>
    <w:rsid w:val="1FE67E79"/>
    <w:rsid w:val="1FFF3F0C"/>
    <w:rsid w:val="20022912"/>
    <w:rsid w:val="200E3B39"/>
    <w:rsid w:val="20151933"/>
    <w:rsid w:val="201560AF"/>
    <w:rsid w:val="20215745"/>
    <w:rsid w:val="203F6EF4"/>
    <w:rsid w:val="20BB0E6C"/>
    <w:rsid w:val="20BF01B9"/>
    <w:rsid w:val="20C71D53"/>
    <w:rsid w:val="20F4571D"/>
    <w:rsid w:val="210822A1"/>
    <w:rsid w:val="21097264"/>
    <w:rsid w:val="21262814"/>
    <w:rsid w:val="21510035"/>
    <w:rsid w:val="215E22A9"/>
    <w:rsid w:val="217C0498"/>
    <w:rsid w:val="21A2539B"/>
    <w:rsid w:val="21A51671"/>
    <w:rsid w:val="21B300DA"/>
    <w:rsid w:val="21C51612"/>
    <w:rsid w:val="21D71593"/>
    <w:rsid w:val="21DB7F9A"/>
    <w:rsid w:val="21EE11B9"/>
    <w:rsid w:val="22081D62"/>
    <w:rsid w:val="22313E6B"/>
    <w:rsid w:val="227110BA"/>
    <w:rsid w:val="22763670"/>
    <w:rsid w:val="2295519B"/>
    <w:rsid w:val="22A45464"/>
    <w:rsid w:val="22BC2B0B"/>
    <w:rsid w:val="22D63866"/>
    <w:rsid w:val="22D836CB"/>
    <w:rsid w:val="22F30A66"/>
    <w:rsid w:val="22FF1830"/>
    <w:rsid w:val="2312039B"/>
    <w:rsid w:val="232922D7"/>
    <w:rsid w:val="23A23D88"/>
    <w:rsid w:val="23C7188E"/>
    <w:rsid w:val="23D82586"/>
    <w:rsid w:val="23EF0C39"/>
    <w:rsid w:val="243A0D7D"/>
    <w:rsid w:val="24630271"/>
    <w:rsid w:val="24742E05"/>
    <w:rsid w:val="2481775F"/>
    <w:rsid w:val="249E2CA0"/>
    <w:rsid w:val="24AE69F8"/>
    <w:rsid w:val="24B009BC"/>
    <w:rsid w:val="24CE0DE7"/>
    <w:rsid w:val="250E67D7"/>
    <w:rsid w:val="25535706"/>
    <w:rsid w:val="25AB575C"/>
    <w:rsid w:val="25CE17E8"/>
    <w:rsid w:val="25D33052"/>
    <w:rsid w:val="25DC2071"/>
    <w:rsid w:val="260807A2"/>
    <w:rsid w:val="26187810"/>
    <w:rsid w:val="265C43BA"/>
    <w:rsid w:val="269555B4"/>
    <w:rsid w:val="26A93FFA"/>
    <w:rsid w:val="26E456AB"/>
    <w:rsid w:val="26F87A1D"/>
    <w:rsid w:val="26FF63CE"/>
    <w:rsid w:val="271F6FE2"/>
    <w:rsid w:val="273915EF"/>
    <w:rsid w:val="274D5C8F"/>
    <w:rsid w:val="275266B3"/>
    <w:rsid w:val="27542024"/>
    <w:rsid w:val="27A7649B"/>
    <w:rsid w:val="27E4384C"/>
    <w:rsid w:val="2815295C"/>
    <w:rsid w:val="282C1E38"/>
    <w:rsid w:val="28346AEE"/>
    <w:rsid w:val="283F3197"/>
    <w:rsid w:val="28465E63"/>
    <w:rsid w:val="2862481B"/>
    <w:rsid w:val="28CC07FC"/>
    <w:rsid w:val="28DC70DA"/>
    <w:rsid w:val="28EC3FB6"/>
    <w:rsid w:val="290805FC"/>
    <w:rsid w:val="291021EA"/>
    <w:rsid w:val="294E182B"/>
    <w:rsid w:val="296B7505"/>
    <w:rsid w:val="297444AA"/>
    <w:rsid w:val="298016BE"/>
    <w:rsid w:val="299A289C"/>
    <w:rsid w:val="299F1E59"/>
    <w:rsid w:val="29B35277"/>
    <w:rsid w:val="29F11D64"/>
    <w:rsid w:val="2A2B1A3D"/>
    <w:rsid w:val="2A2E17F5"/>
    <w:rsid w:val="2A303947"/>
    <w:rsid w:val="2AB725B0"/>
    <w:rsid w:val="2AC63E3A"/>
    <w:rsid w:val="2AEF45D4"/>
    <w:rsid w:val="2B204908"/>
    <w:rsid w:val="2B3A4C97"/>
    <w:rsid w:val="2B3B1041"/>
    <w:rsid w:val="2B5D777F"/>
    <w:rsid w:val="2B5E0B35"/>
    <w:rsid w:val="2B8E77CE"/>
    <w:rsid w:val="2BAA091A"/>
    <w:rsid w:val="2BBC17F5"/>
    <w:rsid w:val="2BC04702"/>
    <w:rsid w:val="2BFE2C3D"/>
    <w:rsid w:val="2C0375E4"/>
    <w:rsid w:val="2C174B42"/>
    <w:rsid w:val="2C175D66"/>
    <w:rsid w:val="2C1D1E6D"/>
    <w:rsid w:val="2C42742B"/>
    <w:rsid w:val="2C4626CB"/>
    <w:rsid w:val="2C482739"/>
    <w:rsid w:val="2C4C7640"/>
    <w:rsid w:val="2C5371F2"/>
    <w:rsid w:val="2C732BFC"/>
    <w:rsid w:val="2C792587"/>
    <w:rsid w:val="2C807D15"/>
    <w:rsid w:val="2C8B49C9"/>
    <w:rsid w:val="2CF86DAD"/>
    <w:rsid w:val="2D0A26A9"/>
    <w:rsid w:val="2D2E552D"/>
    <w:rsid w:val="2D3D777E"/>
    <w:rsid w:val="2D5C1279"/>
    <w:rsid w:val="2DC2448D"/>
    <w:rsid w:val="2DF17B36"/>
    <w:rsid w:val="2DF3663E"/>
    <w:rsid w:val="2E167A29"/>
    <w:rsid w:val="2E341841"/>
    <w:rsid w:val="2E447274"/>
    <w:rsid w:val="2E4F0E38"/>
    <w:rsid w:val="2E632E64"/>
    <w:rsid w:val="2E6D3CBB"/>
    <w:rsid w:val="2E97127C"/>
    <w:rsid w:val="2EA66014"/>
    <w:rsid w:val="2EAC133C"/>
    <w:rsid w:val="2F1279AF"/>
    <w:rsid w:val="2F1C7B7F"/>
    <w:rsid w:val="2F4F0148"/>
    <w:rsid w:val="2F626612"/>
    <w:rsid w:val="2F733F5C"/>
    <w:rsid w:val="2FEE50B1"/>
    <w:rsid w:val="30062758"/>
    <w:rsid w:val="30191779"/>
    <w:rsid w:val="30986F66"/>
    <w:rsid w:val="30B73DC0"/>
    <w:rsid w:val="30BD0F4B"/>
    <w:rsid w:val="30C42CAA"/>
    <w:rsid w:val="31A639D6"/>
    <w:rsid w:val="31AC712C"/>
    <w:rsid w:val="31C33D33"/>
    <w:rsid w:val="31CF46B4"/>
    <w:rsid w:val="31EB4885"/>
    <w:rsid w:val="32055AA1"/>
    <w:rsid w:val="32114039"/>
    <w:rsid w:val="322B33D8"/>
    <w:rsid w:val="32316565"/>
    <w:rsid w:val="3237046E"/>
    <w:rsid w:val="325B3DFE"/>
    <w:rsid w:val="32696332"/>
    <w:rsid w:val="327D7B18"/>
    <w:rsid w:val="327E4466"/>
    <w:rsid w:val="32A27B1D"/>
    <w:rsid w:val="32A3678B"/>
    <w:rsid w:val="32B64708"/>
    <w:rsid w:val="336743E3"/>
    <w:rsid w:val="338A185E"/>
    <w:rsid w:val="339D48BD"/>
    <w:rsid w:val="33A07A40"/>
    <w:rsid w:val="33AC70D6"/>
    <w:rsid w:val="34022063"/>
    <w:rsid w:val="34135363"/>
    <w:rsid w:val="346B298C"/>
    <w:rsid w:val="34762022"/>
    <w:rsid w:val="347B64AA"/>
    <w:rsid w:val="34A40795"/>
    <w:rsid w:val="34BF695C"/>
    <w:rsid w:val="34CF2B1A"/>
    <w:rsid w:val="34EB675E"/>
    <w:rsid w:val="35000F82"/>
    <w:rsid w:val="350D0BE1"/>
    <w:rsid w:val="352C570C"/>
    <w:rsid w:val="35430471"/>
    <w:rsid w:val="35453974"/>
    <w:rsid w:val="35806D43"/>
    <w:rsid w:val="35840CCA"/>
    <w:rsid w:val="35A0080B"/>
    <w:rsid w:val="35B00AA5"/>
    <w:rsid w:val="35CA164F"/>
    <w:rsid w:val="35CE726F"/>
    <w:rsid w:val="35F75965"/>
    <w:rsid w:val="3623639A"/>
    <w:rsid w:val="36387C0A"/>
    <w:rsid w:val="36BB45C3"/>
    <w:rsid w:val="36C727EB"/>
    <w:rsid w:val="36CE48A0"/>
    <w:rsid w:val="36D55DC6"/>
    <w:rsid w:val="36D65004"/>
    <w:rsid w:val="36DB336A"/>
    <w:rsid w:val="36E93E72"/>
    <w:rsid w:val="370A1824"/>
    <w:rsid w:val="3724646C"/>
    <w:rsid w:val="372D5A13"/>
    <w:rsid w:val="37387627"/>
    <w:rsid w:val="374A7542"/>
    <w:rsid w:val="375D70F6"/>
    <w:rsid w:val="380F1889"/>
    <w:rsid w:val="381A4397"/>
    <w:rsid w:val="385A3599"/>
    <w:rsid w:val="38666A14"/>
    <w:rsid w:val="3867411A"/>
    <w:rsid w:val="389307DD"/>
    <w:rsid w:val="38974343"/>
    <w:rsid w:val="38AC7189"/>
    <w:rsid w:val="38C0042E"/>
    <w:rsid w:val="38C04980"/>
    <w:rsid w:val="38CD2F41"/>
    <w:rsid w:val="39010E11"/>
    <w:rsid w:val="390A0365"/>
    <w:rsid w:val="39267958"/>
    <w:rsid w:val="3931615E"/>
    <w:rsid w:val="393C2672"/>
    <w:rsid w:val="39401BFB"/>
    <w:rsid w:val="397C4CA0"/>
    <w:rsid w:val="399131B9"/>
    <w:rsid w:val="39AB12AA"/>
    <w:rsid w:val="39B94B92"/>
    <w:rsid w:val="39E34C87"/>
    <w:rsid w:val="3A083BC2"/>
    <w:rsid w:val="3A2F4103"/>
    <w:rsid w:val="3A386910"/>
    <w:rsid w:val="3A3C7306"/>
    <w:rsid w:val="3A507E7D"/>
    <w:rsid w:val="3A5D1B2A"/>
    <w:rsid w:val="3A83350C"/>
    <w:rsid w:val="3A8472EE"/>
    <w:rsid w:val="3A9371F8"/>
    <w:rsid w:val="3AC83F26"/>
    <w:rsid w:val="3AE6207E"/>
    <w:rsid w:val="3B2E7228"/>
    <w:rsid w:val="3B6B6D72"/>
    <w:rsid w:val="3B710445"/>
    <w:rsid w:val="3BB739E0"/>
    <w:rsid w:val="3BFB2E35"/>
    <w:rsid w:val="3C1633E2"/>
    <w:rsid w:val="3C2970C0"/>
    <w:rsid w:val="3C51098E"/>
    <w:rsid w:val="3C6F4B15"/>
    <w:rsid w:val="3C704147"/>
    <w:rsid w:val="3C754895"/>
    <w:rsid w:val="3C8C1362"/>
    <w:rsid w:val="3C902BF7"/>
    <w:rsid w:val="3CA80030"/>
    <w:rsid w:val="3CB3368F"/>
    <w:rsid w:val="3CBF2E36"/>
    <w:rsid w:val="3D205459"/>
    <w:rsid w:val="3D31403A"/>
    <w:rsid w:val="3D43308F"/>
    <w:rsid w:val="3D446913"/>
    <w:rsid w:val="3D4C2662"/>
    <w:rsid w:val="3D724BCF"/>
    <w:rsid w:val="3D776964"/>
    <w:rsid w:val="3D955418"/>
    <w:rsid w:val="3DC15654"/>
    <w:rsid w:val="3DC76B4A"/>
    <w:rsid w:val="3E0A3094"/>
    <w:rsid w:val="3E0B0B57"/>
    <w:rsid w:val="3E116F60"/>
    <w:rsid w:val="3E366710"/>
    <w:rsid w:val="3E774A06"/>
    <w:rsid w:val="3E7C29BE"/>
    <w:rsid w:val="3EBD28FC"/>
    <w:rsid w:val="3ED3728D"/>
    <w:rsid w:val="3EFB01E2"/>
    <w:rsid w:val="3F0038CA"/>
    <w:rsid w:val="3F0377ED"/>
    <w:rsid w:val="3F3C33FC"/>
    <w:rsid w:val="3F5F3058"/>
    <w:rsid w:val="3F7A36AF"/>
    <w:rsid w:val="3FA45178"/>
    <w:rsid w:val="3FEF3F72"/>
    <w:rsid w:val="3FF82684"/>
    <w:rsid w:val="4010676E"/>
    <w:rsid w:val="40317C93"/>
    <w:rsid w:val="40331275"/>
    <w:rsid w:val="40570AF1"/>
    <w:rsid w:val="40615521"/>
    <w:rsid w:val="407F5EB0"/>
    <w:rsid w:val="40DE5DF9"/>
    <w:rsid w:val="411D1381"/>
    <w:rsid w:val="412F0F3D"/>
    <w:rsid w:val="413C6193"/>
    <w:rsid w:val="41655CD1"/>
    <w:rsid w:val="41665FC0"/>
    <w:rsid w:val="417340EF"/>
    <w:rsid w:val="41772C52"/>
    <w:rsid w:val="418105A0"/>
    <w:rsid w:val="418D2B26"/>
    <w:rsid w:val="419249A3"/>
    <w:rsid w:val="41C816B4"/>
    <w:rsid w:val="41DD3F38"/>
    <w:rsid w:val="41F646C8"/>
    <w:rsid w:val="420F08E9"/>
    <w:rsid w:val="421E3C71"/>
    <w:rsid w:val="4270732B"/>
    <w:rsid w:val="427B6B1F"/>
    <w:rsid w:val="429D1ECC"/>
    <w:rsid w:val="42CC5688"/>
    <w:rsid w:val="42D462B4"/>
    <w:rsid w:val="42D86DA8"/>
    <w:rsid w:val="42E27ECF"/>
    <w:rsid w:val="42FA7C62"/>
    <w:rsid w:val="43301B00"/>
    <w:rsid w:val="43322DCB"/>
    <w:rsid w:val="439E0EE1"/>
    <w:rsid w:val="43AF5C17"/>
    <w:rsid w:val="43B1499E"/>
    <w:rsid w:val="43E730F9"/>
    <w:rsid w:val="43F87310"/>
    <w:rsid w:val="442F74EE"/>
    <w:rsid w:val="44362450"/>
    <w:rsid w:val="44457410"/>
    <w:rsid w:val="44471172"/>
    <w:rsid w:val="44545930"/>
    <w:rsid w:val="445C4E37"/>
    <w:rsid w:val="44602224"/>
    <w:rsid w:val="44790B63"/>
    <w:rsid w:val="448C3043"/>
    <w:rsid w:val="451544DB"/>
    <w:rsid w:val="451C5902"/>
    <w:rsid w:val="45301D0C"/>
    <w:rsid w:val="453F4E6D"/>
    <w:rsid w:val="45570552"/>
    <w:rsid w:val="4560127A"/>
    <w:rsid w:val="459342C1"/>
    <w:rsid w:val="45D76B20"/>
    <w:rsid w:val="461617F2"/>
    <w:rsid w:val="461C7016"/>
    <w:rsid w:val="4640509A"/>
    <w:rsid w:val="46683C12"/>
    <w:rsid w:val="468766C5"/>
    <w:rsid w:val="469C6107"/>
    <w:rsid w:val="46A83BA3"/>
    <w:rsid w:val="46C506CC"/>
    <w:rsid w:val="46D45F69"/>
    <w:rsid w:val="46FD6F64"/>
    <w:rsid w:val="472F665F"/>
    <w:rsid w:val="475D36F3"/>
    <w:rsid w:val="4760450A"/>
    <w:rsid w:val="47755E37"/>
    <w:rsid w:val="47862D65"/>
    <w:rsid w:val="478F2FA0"/>
    <w:rsid w:val="47B90170"/>
    <w:rsid w:val="4856343D"/>
    <w:rsid w:val="487A7B83"/>
    <w:rsid w:val="4889130E"/>
    <w:rsid w:val="489A1D26"/>
    <w:rsid w:val="48CD6B44"/>
    <w:rsid w:val="48DF209C"/>
    <w:rsid w:val="48E13021"/>
    <w:rsid w:val="48FA55F3"/>
    <w:rsid w:val="491B7CDE"/>
    <w:rsid w:val="49335BCA"/>
    <w:rsid w:val="49471EC6"/>
    <w:rsid w:val="49703B8A"/>
    <w:rsid w:val="49B8118B"/>
    <w:rsid w:val="4A291625"/>
    <w:rsid w:val="4A4E41E8"/>
    <w:rsid w:val="4AB17BB3"/>
    <w:rsid w:val="4AD978D9"/>
    <w:rsid w:val="4ADF04E6"/>
    <w:rsid w:val="4B1C38C5"/>
    <w:rsid w:val="4B4E7897"/>
    <w:rsid w:val="4B4F2D9B"/>
    <w:rsid w:val="4B545B5F"/>
    <w:rsid w:val="4B757730"/>
    <w:rsid w:val="4B7E6324"/>
    <w:rsid w:val="4B8D0F20"/>
    <w:rsid w:val="4BB2783B"/>
    <w:rsid w:val="4BE46983"/>
    <w:rsid w:val="4BED1C62"/>
    <w:rsid w:val="4C111A4B"/>
    <w:rsid w:val="4C35605B"/>
    <w:rsid w:val="4C571DFA"/>
    <w:rsid w:val="4C8A7685"/>
    <w:rsid w:val="4C8F0C68"/>
    <w:rsid w:val="4C971ED4"/>
    <w:rsid w:val="4C981BEF"/>
    <w:rsid w:val="4CEE4DC5"/>
    <w:rsid w:val="4CF77C53"/>
    <w:rsid w:val="4D376A9D"/>
    <w:rsid w:val="4D565B50"/>
    <w:rsid w:val="4D6721CE"/>
    <w:rsid w:val="4D933355"/>
    <w:rsid w:val="4DB30006"/>
    <w:rsid w:val="4DE45FB3"/>
    <w:rsid w:val="4DFE2A04"/>
    <w:rsid w:val="4E00119F"/>
    <w:rsid w:val="4E1061A1"/>
    <w:rsid w:val="4E154467"/>
    <w:rsid w:val="4E1D33F3"/>
    <w:rsid w:val="4E657E2A"/>
    <w:rsid w:val="4E6639A1"/>
    <w:rsid w:val="4E997031"/>
    <w:rsid w:val="4EBF1879"/>
    <w:rsid w:val="4EEE579A"/>
    <w:rsid w:val="4EFE25A7"/>
    <w:rsid w:val="4F101D6B"/>
    <w:rsid w:val="4F3007F7"/>
    <w:rsid w:val="4F52422F"/>
    <w:rsid w:val="4F5819BC"/>
    <w:rsid w:val="4F6F3B5F"/>
    <w:rsid w:val="4F87259A"/>
    <w:rsid w:val="4F932A9A"/>
    <w:rsid w:val="4F9C1C2A"/>
    <w:rsid w:val="4F9E6FE9"/>
    <w:rsid w:val="4FA32D35"/>
    <w:rsid w:val="4FA6059A"/>
    <w:rsid w:val="4FF56CCD"/>
    <w:rsid w:val="5009044F"/>
    <w:rsid w:val="50215239"/>
    <w:rsid w:val="50342624"/>
    <w:rsid w:val="50792F36"/>
    <w:rsid w:val="50975A26"/>
    <w:rsid w:val="509D09C0"/>
    <w:rsid w:val="50DC0F30"/>
    <w:rsid w:val="50DE526D"/>
    <w:rsid w:val="513C3011"/>
    <w:rsid w:val="51477FBB"/>
    <w:rsid w:val="516B0122"/>
    <w:rsid w:val="518D41B1"/>
    <w:rsid w:val="51AD660D"/>
    <w:rsid w:val="51BD0E26"/>
    <w:rsid w:val="51C75EB0"/>
    <w:rsid w:val="51F46D81"/>
    <w:rsid w:val="520022B4"/>
    <w:rsid w:val="524E3F98"/>
    <w:rsid w:val="5250749B"/>
    <w:rsid w:val="52597DCC"/>
    <w:rsid w:val="525F5B9E"/>
    <w:rsid w:val="52896DE3"/>
    <w:rsid w:val="52A07546"/>
    <w:rsid w:val="531B7E68"/>
    <w:rsid w:val="53237815"/>
    <w:rsid w:val="536110FF"/>
    <w:rsid w:val="53706204"/>
    <w:rsid w:val="53846F46"/>
    <w:rsid w:val="53B81EE5"/>
    <w:rsid w:val="541447FD"/>
    <w:rsid w:val="541477C5"/>
    <w:rsid w:val="54691D09"/>
    <w:rsid w:val="54D10433"/>
    <w:rsid w:val="54ED44E0"/>
    <w:rsid w:val="55054365"/>
    <w:rsid w:val="55112933"/>
    <w:rsid w:val="551C5030"/>
    <w:rsid w:val="553550E5"/>
    <w:rsid w:val="55460E6F"/>
    <w:rsid w:val="55521882"/>
    <w:rsid w:val="558C55F1"/>
    <w:rsid w:val="55C268F4"/>
    <w:rsid w:val="55EA6982"/>
    <w:rsid w:val="55FE3424"/>
    <w:rsid w:val="561C7469"/>
    <w:rsid w:val="565902BA"/>
    <w:rsid w:val="565C00A2"/>
    <w:rsid w:val="567B543B"/>
    <w:rsid w:val="568048F7"/>
    <w:rsid w:val="568172D5"/>
    <w:rsid w:val="56EE5A61"/>
    <w:rsid w:val="571760EF"/>
    <w:rsid w:val="571A3EAE"/>
    <w:rsid w:val="5727418B"/>
    <w:rsid w:val="574619C1"/>
    <w:rsid w:val="57517EBB"/>
    <w:rsid w:val="57837322"/>
    <w:rsid w:val="57860108"/>
    <w:rsid w:val="5797529D"/>
    <w:rsid w:val="57D33C95"/>
    <w:rsid w:val="581A14D4"/>
    <w:rsid w:val="58487AE6"/>
    <w:rsid w:val="587573E7"/>
    <w:rsid w:val="58816E2E"/>
    <w:rsid w:val="58E271F5"/>
    <w:rsid w:val="58EB29A3"/>
    <w:rsid w:val="58F22A09"/>
    <w:rsid w:val="59282DDF"/>
    <w:rsid w:val="593738F1"/>
    <w:rsid w:val="5945395F"/>
    <w:rsid w:val="594F6AA4"/>
    <w:rsid w:val="596A482D"/>
    <w:rsid w:val="59BD50C9"/>
    <w:rsid w:val="59D67F3D"/>
    <w:rsid w:val="5A1544D9"/>
    <w:rsid w:val="5A1866DC"/>
    <w:rsid w:val="5A2B7DE4"/>
    <w:rsid w:val="5A2F761D"/>
    <w:rsid w:val="5A363A8E"/>
    <w:rsid w:val="5A392494"/>
    <w:rsid w:val="5A4512ED"/>
    <w:rsid w:val="5A611DAE"/>
    <w:rsid w:val="5AEE543B"/>
    <w:rsid w:val="5B266C19"/>
    <w:rsid w:val="5B3E1752"/>
    <w:rsid w:val="5B402122"/>
    <w:rsid w:val="5B49759F"/>
    <w:rsid w:val="5B84215D"/>
    <w:rsid w:val="5BB023F8"/>
    <w:rsid w:val="5BD46979"/>
    <w:rsid w:val="5C1A3F5A"/>
    <w:rsid w:val="5C497C75"/>
    <w:rsid w:val="5C4B3179"/>
    <w:rsid w:val="5C4E40FD"/>
    <w:rsid w:val="5C533E08"/>
    <w:rsid w:val="5C5474AB"/>
    <w:rsid w:val="5C7F4A36"/>
    <w:rsid w:val="5CA73E3E"/>
    <w:rsid w:val="5CB937AD"/>
    <w:rsid w:val="5CBC7FB4"/>
    <w:rsid w:val="5CDF39EC"/>
    <w:rsid w:val="5CFD1AAD"/>
    <w:rsid w:val="5D3E1576"/>
    <w:rsid w:val="5D4D5B25"/>
    <w:rsid w:val="5D5D0A0E"/>
    <w:rsid w:val="5DDA7107"/>
    <w:rsid w:val="5DE16A92"/>
    <w:rsid w:val="5E1813F1"/>
    <w:rsid w:val="5E48693A"/>
    <w:rsid w:val="5E841B1E"/>
    <w:rsid w:val="5EB16817"/>
    <w:rsid w:val="5F141D04"/>
    <w:rsid w:val="5F1474FD"/>
    <w:rsid w:val="5F15360C"/>
    <w:rsid w:val="5F494D5F"/>
    <w:rsid w:val="5F7263F4"/>
    <w:rsid w:val="5F91626B"/>
    <w:rsid w:val="5FB11CF7"/>
    <w:rsid w:val="5FB60749"/>
    <w:rsid w:val="5FBA1A34"/>
    <w:rsid w:val="5FC037DB"/>
    <w:rsid w:val="5FEE6B72"/>
    <w:rsid w:val="604F56C1"/>
    <w:rsid w:val="60665537"/>
    <w:rsid w:val="60725AC7"/>
    <w:rsid w:val="60AB6F74"/>
    <w:rsid w:val="613A0E57"/>
    <w:rsid w:val="614551B6"/>
    <w:rsid w:val="61466DA4"/>
    <w:rsid w:val="61482708"/>
    <w:rsid w:val="61596E6B"/>
    <w:rsid w:val="616B3F49"/>
    <w:rsid w:val="617C0CE2"/>
    <w:rsid w:val="61821187"/>
    <w:rsid w:val="61A316BC"/>
    <w:rsid w:val="61A54BBF"/>
    <w:rsid w:val="61A73945"/>
    <w:rsid w:val="61B05132"/>
    <w:rsid w:val="61B6615E"/>
    <w:rsid w:val="61E713E6"/>
    <w:rsid w:val="61EA6347"/>
    <w:rsid w:val="6239180E"/>
    <w:rsid w:val="624B4B8E"/>
    <w:rsid w:val="62865260"/>
    <w:rsid w:val="628E1B6B"/>
    <w:rsid w:val="62CE7B10"/>
    <w:rsid w:val="62E83F51"/>
    <w:rsid w:val="62ED4C19"/>
    <w:rsid w:val="63166BB6"/>
    <w:rsid w:val="631830BB"/>
    <w:rsid w:val="63302147"/>
    <w:rsid w:val="634136E6"/>
    <w:rsid w:val="6349526F"/>
    <w:rsid w:val="63546FCA"/>
    <w:rsid w:val="63576522"/>
    <w:rsid w:val="636C03A7"/>
    <w:rsid w:val="636E76B0"/>
    <w:rsid w:val="638D02E2"/>
    <w:rsid w:val="63941E6C"/>
    <w:rsid w:val="63C5051E"/>
    <w:rsid w:val="63C93DCE"/>
    <w:rsid w:val="63CC5849"/>
    <w:rsid w:val="63D63AA6"/>
    <w:rsid w:val="63DD338A"/>
    <w:rsid w:val="63FC6412"/>
    <w:rsid w:val="645A0073"/>
    <w:rsid w:val="645B63B1"/>
    <w:rsid w:val="64A70A2F"/>
    <w:rsid w:val="64BC0331"/>
    <w:rsid w:val="64CF51D3"/>
    <w:rsid w:val="64DF21D6"/>
    <w:rsid w:val="64E660CF"/>
    <w:rsid w:val="652C0C88"/>
    <w:rsid w:val="65463AC7"/>
    <w:rsid w:val="65526893"/>
    <w:rsid w:val="6585041D"/>
    <w:rsid w:val="65B3221F"/>
    <w:rsid w:val="65B37C68"/>
    <w:rsid w:val="65D3019C"/>
    <w:rsid w:val="65D76B80"/>
    <w:rsid w:val="65E24F34"/>
    <w:rsid w:val="66130DC9"/>
    <w:rsid w:val="663B03E1"/>
    <w:rsid w:val="66742199"/>
    <w:rsid w:val="66743F68"/>
    <w:rsid w:val="66883A85"/>
    <w:rsid w:val="66965E5D"/>
    <w:rsid w:val="66B66C95"/>
    <w:rsid w:val="66E47FD9"/>
    <w:rsid w:val="66EB29FB"/>
    <w:rsid w:val="67095161"/>
    <w:rsid w:val="67191B92"/>
    <w:rsid w:val="67326BCF"/>
    <w:rsid w:val="6738281D"/>
    <w:rsid w:val="674458E9"/>
    <w:rsid w:val="674C5F94"/>
    <w:rsid w:val="676D06E9"/>
    <w:rsid w:val="67976B83"/>
    <w:rsid w:val="679B1D06"/>
    <w:rsid w:val="67B90DC3"/>
    <w:rsid w:val="67BB029D"/>
    <w:rsid w:val="67C64C07"/>
    <w:rsid w:val="67E27EFC"/>
    <w:rsid w:val="685205D2"/>
    <w:rsid w:val="6876296E"/>
    <w:rsid w:val="68A31084"/>
    <w:rsid w:val="68CA01FA"/>
    <w:rsid w:val="68DC4D3B"/>
    <w:rsid w:val="68EA072F"/>
    <w:rsid w:val="68FA2C34"/>
    <w:rsid w:val="69012A9A"/>
    <w:rsid w:val="69160169"/>
    <w:rsid w:val="69205385"/>
    <w:rsid w:val="694542C0"/>
    <w:rsid w:val="69470FF4"/>
    <w:rsid w:val="695967E4"/>
    <w:rsid w:val="696450D9"/>
    <w:rsid w:val="69FE4D74"/>
    <w:rsid w:val="6A135206"/>
    <w:rsid w:val="6A215F24"/>
    <w:rsid w:val="6A225FC5"/>
    <w:rsid w:val="6A426762"/>
    <w:rsid w:val="6A72123A"/>
    <w:rsid w:val="6A775937"/>
    <w:rsid w:val="6A7946BD"/>
    <w:rsid w:val="6A8231AA"/>
    <w:rsid w:val="6AAA4E8C"/>
    <w:rsid w:val="6AB954A7"/>
    <w:rsid w:val="6AE36FC5"/>
    <w:rsid w:val="6AEA0E5D"/>
    <w:rsid w:val="6B262257"/>
    <w:rsid w:val="6B2D1BE2"/>
    <w:rsid w:val="6B410883"/>
    <w:rsid w:val="6B567128"/>
    <w:rsid w:val="6B5F36B6"/>
    <w:rsid w:val="6BAD1237"/>
    <w:rsid w:val="6C11712B"/>
    <w:rsid w:val="6C4C58BD"/>
    <w:rsid w:val="6C905C08"/>
    <w:rsid w:val="6CFE78DF"/>
    <w:rsid w:val="6D2747FD"/>
    <w:rsid w:val="6D62662C"/>
    <w:rsid w:val="6D6F0E98"/>
    <w:rsid w:val="6D8E467A"/>
    <w:rsid w:val="6D9510D7"/>
    <w:rsid w:val="6DB46109"/>
    <w:rsid w:val="6DDC72CD"/>
    <w:rsid w:val="6DF20706"/>
    <w:rsid w:val="6E4B5383"/>
    <w:rsid w:val="6E753841"/>
    <w:rsid w:val="6E8D4897"/>
    <w:rsid w:val="6E9C15AE"/>
    <w:rsid w:val="6EB072A6"/>
    <w:rsid w:val="6EF8071E"/>
    <w:rsid w:val="6F0A44BC"/>
    <w:rsid w:val="6F1218C9"/>
    <w:rsid w:val="6F290E5B"/>
    <w:rsid w:val="6F3E2316"/>
    <w:rsid w:val="6F520354"/>
    <w:rsid w:val="6F5B1B9C"/>
    <w:rsid w:val="6F8A4A0A"/>
    <w:rsid w:val="6FDC0F91"/>
    <w:rsid w:val="6FDD2296"/>
    <w:rsid w:val="700C1760"/>
    <w:rsid w:val="70213C84"/>
    <w:rsid w:val="7035733D"/>
    <w:rsid w:val="70431C3A"/>
    <w:rsid w:val="704373ED"/>
    <w:rsid w:val="70701FF0"/>
    <w:rsid w:val="708A4651"/>
    <w:rsid w:val="70B47335"/>
    <w:rsid w:val="70F1687E"/>
    <w:rsid w:val="70F7149F"/>
    <w:rsid w:val="71123726"/>
    <w:rsid w:val="71174DAC"/>
    <w:rsid w:val="71200FE6"/>
    <w:rsid w:val="712A4D85"/>
    <w:rsid w:val="71544D0C"/>
    <w:rsid w:val="715E710A"/>
    <w:rsid w:val="71BA4B59"/>
    <w:rsid w:val="71C77838"/>
    <w:rsid w:val="71D139CB"/>
    <w:rsid w:val="71ED7A78"/>
    <w:rsid w:val="7204189B"/>
    <w:rsid w:val="721E3A31"/>
    <w:rsid w:val="725F08D5"/>
    <w:rsid w:val="725F4C19"/>
    <w:rsid w:val="72660299"/>
    <w:rsid w:val="726C557A"/>
    <w:rsid w:val="7273364D"/>
    <w:rsid w:val="728D70E2"/>
    <w:rsid w:val="729466E6"/>
    <w:rsid w:val="729A30CF"/>
    <w:rsid w:val="729F1A9A"/>
    <w:rsid w:val="72A01D4F"/>
    <w:rsid w:val="72AC3818"/>
    <w:rsid w:val="72AC3AC2"/>
    <w:rsid w:val="72C267D6"/>
    <w:rsid w:val="72EE509C"/>
    <w:rsid w:val="72F90C4B"/>
    <w:rsid w:val="73054CC1"/>
    <w:rsid w:val="73210D6E"/>
    <w:rsid w:val="732433C9"/>
    <w:rsid w:val="73401B89"/>
    <w:rsid w:val="73927E3B"/>
    <w:rsid w:val="739A0BAA"/>
    <w:rsid w:val="73D13110"/>
    <w:rsid w:val="73D155E3"/>
    <w:rsid w:val="742F3D66"/>
    <w:rsid w:val="743B0840"/>
    <w:rsid w:val="7444344F"/>
    <w:rsid w:val="74451A10"/>
    <w:rsid w:val="744530CF"/>
    <w:rsid w:val="7473612C"/>
    <w:rsid w:val="747D102B"/>
    <w:rsid w:val="748141BB"/>
    <w:rsid w:val="749F67E2"/>
    <w:rsid w:val="74A16A65"/>
    <w:rsid w:val="74AB1E61"/>
    <w:rsid w:val="74BC7273"/>
    <w:rsid w:val="74CE0064"/>
    <w:rsid w:val="74E961B3"/>
    <w:rsid w:val="74ED509D"/>
    <w:rsid w:val="74F714CC"/>
    <w:rsid w:val="7507318D"/>
    <w:rsid w:val="754E3901"/>
    <w:rsid w:val="7562002D"/>
    <w:rsid w:val="756E7A0C"/>
    <w:rsid w:val="757026F7"/>
    <w:rsid w:val="757A0791"/>
    <w:rsid w:val="75B43DCE"/>
    <w:rsid w:val="75DE59A8"/>
    <w:rsid w:val="75F1017D"/>
    <w:rsid w:val="75FB4F1F"/>
    <w:rsid w:val="76135F0A"/>
    <w:rsid w:val="76326072"/>
    <w:rsid w:val="76396D82"/>
    <w:rsid w:val="763C6CF0"/>
    <w:rsid w:val="763F0676"/>
    <w:rsid w:val="764C3824"/>
    <w:rsid w:val="76633449"/>
    <w:rsid w:val="766E2F3A"/>
    <w:rsid w:val="76895F8B"/>
    <w:rsid w:val="76A51934"/>
    <w:rsid w:val="77055638"/>
    <w:rsid w:val="7709745B"/>
    <w:rsid w:val="77234781"/>
    <w:rsid w:val="77260F89"/>
    <w:rsid w:val="773C312D"/>
    <w:rsid w:val="77602068"/>
    <w:rsid w:val="77781922"/>
    <w:rsid w:val="77866A24"/>
    <w:rsid w:val="778E7FA4"/>
    <w:rsid w:val="779753B1"/>
    <w:rsid w:val="77B50B62"/>
    <w:rsid w:val="77C4430A"/>
    <w:rsid w:val="77DB5784"/>
    <w:rsid w:val="781D44AD"/>
    <w:rsid w:val="783C3002"/>
    <w:rsid w:val="783D0751"/>
    <w:rsid w:val="784F3EEE"/>
    <w:rsid w:val="785A4F5F"/>
    <w:rsid w:val="78730692"/>
    <w:rsid w:val="78754D3E"/>
    <w:rsid w:val="78BA7F02"/>
    <w:rsid w:val="78E037DD"/>
    <w:rsid w:val="78ED6530"/>
    <w:rsid w:val="791D7A4E"/>
    <w:rsid w:val="79433986"/>
    <w:rsid w:val="79A75037"/>
    <w:rsid w:val="79CD2161"/>
    <w:rsid w:val="79CE3466"/>
    <w:rsid w:val="7A015770"/>
    <w:rsid w:val="7A4665A8"/>
    <w:rsid w:val="7A4A63E6"/>
    <w:rsid w:val="7A7E3B72"/>
    <w:rsid w:val="7A8F18FD"/>
    <w:rsid w:val="7AB7381B"/>
    <w:rsid w:val="7B000553"/>
    <w:rsid w:val="7B05022C"/>
    <w:rsid w:val="7B0940E7"/>
    <w:rsid w:val="7B234ABE"/>
    <w:rsid w:val="7B376D84"/>
    <w:rsid w:val="7B525F66"/>
    <w:rsid w:val="7B5D1132"/>
    <w:rsid w:val="7B69169A"/>
    <w:rsid w:val="7B8D4C19"/>
    <w:rsid w:val="7BA002A1"/>
    <w:rsid w:val="7BAF030B"/>
    <w:rsid w:val="7BBE17FB"/>
    <w:rsid w:val="7BF67ADD"/>
    <w:rsid w:val="7C045B43"/>
    <w:rsid w:val="7C2535BA"/>
    <w:rsid w:val="7C3228D0"/>
    <w:rsid w:val="7C336153"/>
    <w:rsid w:val="7C4743A4"/>
    <w:rsid w:val="7CF07CE5"/>
    <w:rsid w:val="7CF44FDD"/>
    <w:rsid w:val="7D1D3D2C"/>
    <w:rsid w:val="7D2653CE"/>
    <w:rsid w:val="7D3832F6"/>
    <w:rsid w:val="7D5A247D"/>
    <w:rsid w:val="7D8B6A58"/>
    <w:rsid w:val="7DE37734"/>
    <w:rsid w:val="7E782225"/>
    <w:rsid w:val="7E8A1B2B"/>
    <w:rsid w:val="7E9136B4"/>
    <w:rsid w:val="7E9349B9"/>
    <w:rsid w:val="7EA0098C"/>
    <w:rsid w:val="7EC00980"/>
    <w:rsid w:val="7EF76F59"/>
    <w:rsid w:val="7F1E6793"/>
    <w:rsid w:val="7F7C6B34"/>
    <w:rsid w:val="7F902894"/>
    <w:rsid w:val="7FB926C4"/>
    <w:rsid w:val="7FC11D7B"/>
    <w:rsid w:val="7FEA29EC"/>
    <w:rsid w:val="7FEC7696"/>
    <w:rsid w:val="7FED00ED"/>
    <w:rsid w:val="7FFA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1"/>
    <w:link w:val="42"/>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5"/>
    <w:link w:val="43"/>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4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4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4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4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12">
    <w:name w:val="Document Map"/>
    <w:basedOn w:val="1"/>
    <w:link w:val="50"/>
    <w:uiPriority w:val="0"/>
    <w:pPr>
      <w:shd w:val="clear" w:color="auto" w:fill="000080"/>
    </w:pPr>
    <w:rPr>
      <w:kern w:val="0"/>
      <w:sz w:val="20"/>
      <w:shd w:val="clear" w:color="auto" w:fill="000080"/>
    </w:rPr>
  </w:style>
  <w:style w:type="paragraph" w:styleId="13">
    <w:name w:val="annotation text"/>
    <w:basedOn w:val="1"/>
    <w:link w:val="51"/>
    <w:qFormat/>
    <w:uiPriority w:val="0"/>
    <w:pPr>
      <w:adjustRightInd w:val="0"/>
      <w:spacing w:line="360" w:lineRule="atLeast"/>
      <w:jc w:val="left"/>
      <w:textAlignment w:val="baseline"/>
    </w:pPr>
    <w:rPr>
      <w:kern w:val="0"/>
      <w:sz w:val="24"/>
      <w:szCs w:val="20"/>
    </w:rPr>
  </w:style>
  <w:style w:type="paragraph" w:styleId="14">
    <w:name w:val="Body Text 3"/>
    <w:basedOn w:val="1"/>
    <w:qFormat/>
    <w:uiPriority w:val="0"/>
    <w:pPr>
      <w:spacing w:after="120"/>
    </w:pPr>
    <w:rPr>
      <w:sz w:val="16"/>
      <w:szCs w:val="16"/>
    </w:rPr>
  </w:style>
  <w:style w:type="paragraph" w:styleId="15">
    <w:name w:val="Body Text"/>
    <w:basedOn w:val="1"/>
    <w:link w:val="52"/>
    <w:uiPriority w:val="0"/>
    <w:pPr>
      <w:tabs>
        <w:tab w:val="left" w:pos="574"/>
      </w:tabs>
      <w:spacing w:line="288" w:lineRule="auto"/>
    </w:pPr>
    <w:rPr>
      <w:rFonts w:ascii="宋体" w:hAnsi="宋体"/>
      <w:szCs w:val="20"/>
    </w:rPr>
  </w:style>
  <w:style w:type="paragraph" w:styleId="16">
    <w:name w:val="Body Text Indent"/>
    <w:basedOn w:val="1"/>
    <w:qFormat/>
    <w:uiPriority w:val="0"/>
    <w:pPr>
      <w:spacing w:after="120"/>
      <w:ind w:left="420" w:leftChars="200"/>
    </w:pPr>
  </w:style>
  <w:style w:type="paragraph" w:styleId="17">
    <w:name w:val="index 4"/>
    <w:basedOn w:val="1"/>
    <w:next w:val="1"/>
    <w:qFormat/>
    <w:uiPriority w:val="0"/>
    <w:pPr>
      <w:ind w:left="600" w:leftChars="600"/>
    </w:pPr>
  </w:style>
  <w:style w:type="paragraph" w:styleId="18">
    <w:name w:val="toc 3"/>
    <w:basedOn w:val="1"/>
    <w:next w:val="1"/>
    <w:qFormat/>
    <w:uiPriority w:val="0"/>
    <w:pPr>
      <w:ind w:left="718" w:leftChars="342" w:firstLine="1"/>
    </w:pPr>
  </w:style>
  <w:style w:type="paragraph" w:styleId="19">
    <w:name w:val="Plain Text"/>
    <w:basedOn w:val="1"/>
    <w:link w:val="53"/>
    <w:qFormat/>
    <w:uiPriority w:val="0"/>
    <w:rPr>
      <w:rFonts w:ascii="宋体" w:hAnsi="Courier New" w:cs="Courier New"/>
      <w:szCs w:val="21"/>
    </w:rPr>
  </w:style>
  <w:style w:type="paragraph" w:styleId="20">
    <w:name w:val="Date"/>
    <w:basedOn w:val="1"/>
    <w:next w:val="1"/>
    <w:link w:val="54"/>
    <w:qFormat/>
    <w:uiPriority w:val="0"/>
    <w:rPr>
      <w:sz w:val="24"/>
      <w:szCs w:val="20"/>
    </w:r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26">
    <w:name w:val="List"/>
    <w:basedOn w:val="15"/>
    <w:qFormat/>
    <w:uiPriority w:val="0"/>
    <w:pPr>
      <w:widowControl/>
      <w:tabs>
        <w:tab w:val="left" w:pos="0"/>
        <w:tab w:val="left" w:pos="95"/>
        <w:tab w:val="left" w:pos="380"/>
        <w:tab w:val="clear" w:pos="574"/>
      </w:tabs>
      <w:spacing w:line="380" w:lineRule="exact"/>
      <w:ind w:left="720" w:hanging="360"/>
      <w:jc w:val="center"/>
    </w:pPr>
    <w:rPr>
      <w:rFonts w:hAnsi="Arial"/>
      <w:spacing w:val="-5"/>
      <w:kern w:val="0"/>
      <w:sz w:val="24"/>
    </w:rPr>
  </w:style>
  <w:style w:type="paragraph" w:styleId="27">
    <w:name w:val="footnote text"/>
    <w:basedOn w:val="1"/>
    <w:qFormat/>
    <w:uiPriority w:val="0"/>
    <w:pPr>
      <w:adjustRightInd w:val="0"/>
      <w:spacing w:line="312" w:lineRule="atLeast"/>
      <w:jc w:val="left"/>
      <w:textAlignment w:val="baseline"/>
    </w:pPr>
    <w:rPr>
      <w:kern w:val="0"/>
      <w:sz w:val="18"/>
      <w:szCs w:val="20"/>
    </w:rPr>
  </w:style>
  <w:style w:type="paragraph" w:styleId="2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uiPriority w:val="0"/>
    <w:pPr>
      <w:widowControl/>
      <w:spacing w:before="100" w:beforeAutospacing="1" w:after="100" w:afterAutospacing="1"/>
      <w:jc w:val="left"/>
    </w:pPr>
    <w:rPr>
      <w:rFonts w:ascii="宋体" w:hAnsi="宋体"/>
      <w:color w:val="000000"/>
      <w:kern w:val="0"/>
      <w:sz w:val="24"/>
    </w:rPr>
  </w:style>
  <w:style w:type="paragraph" w:styleId="30">
    <w:name w:val="Title"/>
    <w:basedOn w:val="1"/>
    <w:next w:val="1"/>
    <w:link w:val="59"/>
    <w:qFormat/>
    <w:uiPriority w:val="0"/>
    <w:pPr>
      <w:spacing w:before="240" w:after="60"/>
      <w:jc w:val="center"/>
      <w:outlineLvl w:val="0"/>
    </w:pPr>
    <w:rPr>
      <w:rFonts w:ascii="Cambria" w:hAnsi="Cambria"/>
      <w:b/>
      <w:bCs/>
      <w:sz w:val="32"/>
      <w:szCs w:val="32"/>
    </w:rPr>
  </w:style>
  <w:style w:type="paragraph" w:styleId="31">
    <w:name w:val="annotation subject"/>
    <w:basedOn w:val="13"/>
    <w:next w:val="13"/>
    <w:link w:val="60"/>
    <w:qFormat/>
    <w:uiPriority w:val="0"/>
    <w:pPr>
      <w:adjustRightInd/>
      <w:spacing w:line="240" w:lineRule="auto"/>
      <w:textAlignment w:val="auto"/>
    </w:pPr>
    <w:rPr>
      <w:b/>
      <w:bCs/>
      <w:kern w:val="2"/>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uiPriority w:val="0"/>
  </w:style>
  <w:style w:type="character" w:styleId="37">
    <w:name w:val="FollowedHyperlink"/>
    <w:uiPriority w:val="0"/>
    <w:rPr>
      <w:color w:val="800080"/>
      <w:u w:val="single"/>
    </w:rPr>
  </w:style>
  <w:style w:type="character" w:styleId="38">
    <w:name w:val="Hyperlink"/>
    <w:uiPriority w:val="0"/>
    <w:rPr>
      <w:color w:val="0000FF"/>
      <w:u w:val="single"/>
    </w:rPr>
  </w:style>
  <w:style w:type="character" w:styleId="39">
    <w:name w:val="annotation reference"/>
    <w:uiPriority w:val="0"/>
    <w:rPr>
      <w:sz w:val="21"/>
      <w:szCs w:val="21"/>
    </w:rPr>
  </w:style>
  <w:style w:type="character" w:styleId="40">
    <w:name w:val="footnote reference"/>
    <w:uiPriority w:val="0"/>
    <w:rPr>
      <w:vertAlign w:val="superscript"/>
    </w:rPr>
  </w:style>
  <w:style w:type="character" w:customStyle="1" w:styleId="41">
    <w:name w:val="标题 1 Char"/>
    <w:link w:val="2"/>
    <w:qFormat/>
    <w:uiPriority w:val="0"/>
    <w:rPr>
      <w:rFonts w:ascii="黑体" w:eastAsia="黑体"/>
      <w:sz w:val="52"/>
    </w:rPr>
  </w:style>
  <w:style w:type="character" w:customStyle="1" w:styleId="42">
    <w:name w:val="标题 2 Char"/>
    <w:link w:val="3"/>
    <w:qFormat/>
    <w:uiPriority w:val="0"/>
    <w:rPr>
      <w:rFonts w:ascii="Cambria" w:hAnsi="Cambria" w:eastAsia="宋体"/>
      <w:b/>
      <w:bCs/>
      <w:kern w:val="2"/>
      <w:sz w:val="32"/>
      <w:szCs w:val="32"/>
      <w:lang w:val="en-US" w:eastAsia="zh-CN" w:bidi="ar-SA"/>
    </w:rPr>
  </w:style>
  <w:style w:type="character" w:customStyle="1" w:styleId="43">
    <w:name w:val="标题 3 Char"/>
    <w:link w:val="4"/>
    <w:qFormat/>
    <w:uiPriority w:val="0"/>
    <w:rPr>
      <w:b/>
      <w:sz w:val="32"/>
    </w:rPr>
  </w:style>
  <w:style w:type="character" w:customStyle="1" w:styleId="44">
    <w:name w:val="标题 4 Char"/>
    <w:link w:val="6"/>
    <w:qFormat/>
    <w:uiPriority w:val="0"/>
    <w:rPr>
      <w:rFonts w:ascii="Arial" w:hAnsi="Arial" w:eastAsia="黑体"/>
      <w:b/>
      <w:bCs/>
      <w:kern w:val="2"/>
      <w:sz w:val="28"/>
      <w:szCs w:val="28"/>
      <w:lang w:val="en-US" w:eastAsia="zh-CN" w:bidi="ar-SA"/>
    </w:rPr>
  </w:style>
  <w:style w:type="character" w:customStyle="1" w:styleId="45">
    <w:name w:val="标题 5 Char"/>
    <w:link w:val="7"/>
    <w:qFormat/>
    <w:uiPriority w:val="0"/>
    <w:rPr>
      <w:rFonts w:ascii="Calibri" w:hAnsi="Calibri" w:eastAsia="宋体"/>
      <w:b/>
      <w:bCs/>
      <w:kern w:val="2"/>
      <w:sz w:val="28"/>
      <w:szCs w:val="28"/>
      <w:lang w:val="en-US" w:eastAsia="zh-CN" w:bidi="ar-SA"/>
    </w:rPr>
  </w:style>
  <w:style w:type="character" w:customStyle="1" w:styleId="46">
    <w:name w:val="标题 6 Char"/>
    <w:link w:val="8"/>
    <w:qFormat/>
    <w:uiPriority w:val="0"/>
    <w:rPr>
      <w:rFonts w:ascii="Arial" w:hAnsi="Arial" w:eastAsia="黑体"/>
      <w:b/>
      <w:bCs/>
      <w:sz w:val="24"/>
      <w:szCs w:val="24"/>
    </w:rPr>
  </w:style>
  <w:style w:type="character" w:customStyle="1" w:styleId="47">
    <w:name w:val="标题 7 Char"/>
    <w:link w:val="9"/>
    <w:uiPriority w:val="0"/>
    <w:rPr>
      <w:b/>
      <w:bCs/>
      <w:sz w:val="24"/>
      <w:szCs w:val="24"/>
    </w:rPr>
  </w:style>
  <w:style w:type="character" w:customStyle="1" w:styleId="48">
    <w:name w:val="标题 8 Char"/>
    <w:link w:val="10"/>
    <w:uiPriority w:val="0"/>
    <w:rPr>
      <w:rFonts w:ascii="Arial" w:hAnsi="Arial" w:eastAsia="黑体"/>
      <w:sz w:val="24"/>
      <w:szCs w:val="24"/>
    </w:rPr>
  </w:style>
  <w:style w:type="character" w:customStyle="1" w:styleId="49">
    <w:name w:val="标题 9 Char"/>
    <w:link w:val="11"/>
    <w:qFormat/>
    <w:uiPriority w:val="0"/>
    <w:rPr>
      <w:rFonts w:ascii="Arial" w:hAnsi="Arial" w:eastAsia="黑体"/>
      <w:sz w:val="21"/>
      <w:szCs w:val="21"/>
    </w:rPr>
  </w:style>
  <w:style w:type="character" w:customStyle="1" w:styleId="50">
    <w:name w:val="文档结构图 Char"/>
    <w:link w:val="12"/>
    <w:uiPriority w:val="0"/>
    <w:rPr>
      <w:szCs w:val="24"/>
      <w:shd w:val="clear" w:color="auto" w:fill="000080"/>
      <w:lang w:bidi="ar-SA"/>
    </w:rPr>
  </w:style>
  <w:style w:type="character" w:customStyle="1" w:styleId="51">
    <w:name w:val="批注文字 Char"/>
    <w:link w:val="13"/>
    <w:uiPriority w:val="0"/>
    <w:rPr>
      <w:rFonts w:eastAsia="宋体"/>
      <w:sz w:val="24"/>
      <w:lang w:val="en-US" w:eastAsia="zh-CN" w:bidi="ar-SA"/>
    </w:rPr>
  </w:style>
  <w:style w:type="character" w:customStyle="1" w:styleId="52">
    <w:name w:val="正文文本 Char"/>
    <w:link w:val="15"/>
    <w:qFormat/>
    <w:uiPriority w:val="0"/>
    <w:rPr>
      <w:rFonts w:ascii="宋体" w:hAnsi="宋体" w:eastAsia="宋体"/>
      <w:kern w:val="2"/>
      <w:sz w:val="21"/>
      <w:lang w:val="en-US" w:eastAsia="zh-CN" w:bidi="ar-SA"/>
    </w:rPr>
  </w:style>
  <w:style w:type="character" w:customStyle="1" w:styleId="53">
    <w:name w:val="纯文本 Char"/>
    <w:link w:val="19"/>
    <w:uiPriority w:val="0"/>
    <w:rPr>
      <w:rFonts w:ascii="宋体" w:hAnsi="Courier New" w:eastAsia="宋体" w:cs="Courier New"/>
      <w:kern w:val="2"/>
      <w:sz w:val="21"/>
      <w:szCs w:val="21"/>
      <w:lang w:val="en-US" w:eastAsia="zh-CN" w:bidi="ar-SA"/>
    </w:rPr>
  </w:style>
  <w:style w:type="character" w:customStyle="1" w:styleId="54">
    <w:name w:val="日期 Char"/>
    <w:link w:val="20"/>
    <w:uiPriority w:val="0"/>
    <w:rPr>
      <w:rFonts w:eastAsia="宋体"/>
      <w:kern w:val="2"/>
      <w:sz w:val="24"/>
      <w:lang w:val="en-US" w:eastAsia="zh-CN" w:bidi="ar-SA"/>
    </w:rPr>
  </w:style>
  <w:style w:type="character" w:customStyle="1" w:styleId="55">
    <w:name w:val="批注框文本 Char"/>
    <w:link w:val="21"/>
    <w:uiPriority w:val="0"/>
    <w:rPr>
      <w:rFonts w:eastAsia="宋体"/>
      <w:kern w:val="2"/>
      <w:sz w:val="18"/>
      <w:szCs w:val="18"/>
      <w:lang w:val="en-US" w:eastAsia="zh-CN" w:bidi="ar-SA"/>
    </w:rPr>
  </w:style>
  <w:style w:type="character" w:customStyle="1" w:styleId="56">
    <w:name w:val="页脚 Char"/>
    <w:link w:val="22"/>
    <w:qFormat/>
    <w:uiPriority w:val="0"/>
    <w:rPr>
      <w:rFonts w:eastAsia="宋体"/>
      <w:kern w:val="2"/>
      <w:sz w:val="18"/>
      <w:szCs w:val="18"/>
      <w:lang w:val="en-US" w:eastAsia="zh-CN" w:bidi="ar-SA"/>
    </w:rPr>
  </w:style>
  <w:style w:type="character" w:customStyle="1" w:styleId="57">
    <w:name w:val="页眉 Char"/>
    <w:link w:val="23"/>
    <w:qFormat/>
    <w:uiPriority w:val="0"/>
    <w:rPr>
      <w:rFonts w:eastAsia="宋体"/>
      <w:kern w:val="2"/>
      <w:sz w:val="18"/>
      <w:szCs w:val="18"/>
      <w:lang w:val="en-US" w:eastAsia="zh-CN" w:bidi="ar-SA"/>
    </w:rPr>
  </w:style>
  <w:style w:type="character" w:customStyle="1" w:styleId="58">
    <w:name w:val="副标题 Char"/>
    <w:link w:val="25"/>
    <w:qFormat/>
    <w:uiPriority w:val="0"/>
    <w:rPr>
      <w:rFonts w:ascii="Cambria" w:hAnsi="Cambria"/>
      <w:b/>
      <w:bCs/>
      <w:kern w:val="28"/>
      <w:sz w:val="32"/>
      <w:szCs w:val="32"/>
      <w:lang w:bidi="ar-SA"/>
    </w:rPr>
  </w:style>
  <w:style w:type="character" w:customStyle="1" w:styleId="59">
    <w:name w:val="标题 Char"/>
    <w:link w:val="30"/>
    <w:uiPriority w:val="0"/>
    <w:rPr>
      <w:rFonts w:ascii="Cambria" w:hAnsi="Cambria"/>
      <w:b/>
      <w:bCs/>
      <w:kern w:val="2"/>
      <w:sz w:val="32"/>
      <w:szCs w:val="32"/>
      <w:lang w:bidi="ar-SA"/>
    </w:rPr>
  </w:style>
  <w:style w:type="character" w:customStyle="1" w:styleId="60">
    <w:name w:val="批注主题 Char"/>
    <w:link w:val="31"/>
    <w:uiPriority w:val="0"/>
    <w:rPr>
      <w:rFonts w:eastAsia="宋体"/>
      <w:b/>
      <w:bCs/>
      <w:kern w:val="2"/>
      <w:sz w:val="21"/>
      <w:szCs w:val="24"/>
      <w:lang w:val="en-US" w:eastAsia="zh-CN" w:bidi="ar-SA"/>
    </w:rPr>
  </w:style>
  <w:style w:type="character" w:customStyle="1" w:styleId="61">
    <w:name w:val="Char Char3"/>
    <w:uiPriority w:val="0"/>
    <w:rPr>
      <w:rFonts w:eastAsia="宋体"/>
      <w:kern w:val="2"/>
      <w:sz w:val="18"/>
      <w:szCs w:val="18"/>
      <w:lang w:val="en-US" w:eastAsia="zh-CN" w:bidi="ar-SA"/>
    </w:rPr>
  </w:style>
  <w:style w:type="character" w:customStyle="1" w:styleId="62">
    <w:name w:val="Char Char2"/>
    <w:uiPriority w:val="0"/>
    <w:rPr>
      <w:rFonts w:ascii="Cambria" w:hAnsi="Cambria"/>
      <w:b/>
      <w:bCs/>
      <w:kern w:val="2"/>
      <w:sz w:val="32"/>
      <w:szCs w:val="32"/>
      <w:lang w:bidi="ar-SA"/>
    </w:rPr>
  </w:style>
  <w:style w:type="character" w:customStyle="1" w:styleId="63">
    <w:name w:val="标题4 Char Char"/>
    <w:link w:val="64"/>
    <w:uiPriority w:val="0"/>
    <w:rPr>
      <w:rFonts w:ascii="Arial" w:hAnsi="Arial"/>
      <w:b/>
      <w:bCs/>
      <w:sz w:val="24"/>
      <w:szCs w:val="32"/>
      <w:lang w:bidi="ar-SA"/>
    </w:rPr>
  </w:style>
  <w:style w:type="paragraph" w:customStyle="1" w:styleId="64">
    <w:name w:val="标题4"/>
    <w:basedOn w:val="3"/>
    <w:next w:val="17"/>
    <w:link w:val="63"/>
    <w:uiPriority w:val="0"/>
    <w:rPr>
      <w:rFonts w:ascii="Arial" w:hAnsi="Arial"/>
      <w:kern w:val="0"/>
      <w:sz w:val="24"/>
    </w:rPr>
  </w:style>
  <w:style w:type="character" w:customStyle="1" w:styleId="65">
    <w:name w:val="Char Char5"/>
    <w:uiPriority w:val="0"/>
    <w:rPr>
      <w:rFonts w:ascii="宋体" w:hAnsi="宋体" w:eastAsia="宋体"/>
      <w:kern w:val="2"/>
      <w:sz w:val="21"/>
      <w:lang w:val="en-US" w:eastAsia="zh-CN" w:bidi="ar-SA"/>
    </w:rPr>
  </w:style>
  <w:style w:type="character" w:customStyle="1" w:styleId="66">
    <w:name w:val="Char Char1"/>
    <w:uiPriority w:val="0"/>
    <w:rPr>
      <w:rFonts w:ascii="宋体" w:hAnsi="Courier New" w:eastAsia="宋体" w:cs="Courier New"/>
      <w:kern w:val="2"/>
      <w:sz w:val="21"/>
      <w:szCs w:val="21"/>
      <w:lang w:val="en-US" w:eastAsia="zh-CN" w:bidi="ar-SA"/>
    </w:rPr>
  </w:style>
  <w:style w:type="character" w:customStyle="1" w:styleId="67">
    <w:name w:val="Char Char17"/>
    <w:uiPriority w:val="0"/>
    <w:rPr>
      <w:rFonts w:eastAsia="宋体"/>
      <w:b/>
      <w:sz w:val="32"/>
      <w:lang w:val="en-US" w:eastAsia="zh-CN" w:bidi="ar-SA"/>
    </w:rPr>
  </w:style>
  <w:style w:type="character" w:customStyle="1" w:styleId="68">
    <w:name w:val="Char Char"/>
    <w:uiPriority w:val="0"/>
    <w:rPr>
      <w:rFonts w:ascii="宋体" w:hAnsi="Courier New" w:eastAsia="宋体" w:cs="Courier New"/>
      <w:kern w:val="2"/>
      <w:sz w:val="21"/>
      <w:szCs w:val="21"/>
      <w:lang w:val="en-US" w:eastAsia="zh-CN" w:bidi="ar-SA"/>
    </w:rPr>
  </w:style>
  <w:style w:type="character" w:customStyle="1" w:styleId="69">
    <w:name w:val="Char Char6"/>
    <w:uiPriority w:val="0"/>
    <w:rPr>
      <w:szCs w:val="24"/>
      <w:shd w:val="clear" w:color="auto" w:fill="000080"/>
      <w:lang w:bidi="ar-SA"/>
    </w:rPr>
  </w:style>
  <w:style w:type="character" w:customStyle="1" w:styleId="70">
    <w:name w:val="Char Char8"/>
    <w:uiPriority w:val="0"/>
    <w:rPr>
      <w:rFonts w:eastAsia="宋体"/>
      <w:sz w:val="24"/>
      <w:lang w:val="en-US" w:eastAsia="zh-CN" w:bidi="ar-SA"/>
    </w:rPr>
  </w:style>
  <w:style w:type="character" w:customStyle="1" w:styleId="71">
    <w:name w:val="引用 Char"/>
    <w:link w:val="72"/>
    <w:uiPriority w:val="0"/>
    <w:rPr>
      <w:i/>
      <w:iCs/>
      <w:color w:val="000000"/>
      <w:kern w:val="2"/>
      <w:sz w:val="21"/>
      <w:szCs w:val="22"/>
      <w:lang w:bidi="ar-SA"/>
    </w:rPr>
  </w:style>
  <w:style w:type="paragraph" w:styleId="72">
    <w:name w:val="Quote"/>
    <w:basedOn w:val="1"/>
    <w:next w:val="1"/>
    <w:link w:val="71"/>
    <w:qFormat/>
    <w:uiPriority w:val="0"/>
    <w:rPr>
      <w:i/>
      <w:iCs/>
      <w:color w:val="000000"/>
      <w:szCs w:val="22"/>
    </w:rPr>
  </w:style>
  <w:style w:type="character" w:customStyle="1" w:styleId="73">
    <w:name w:val="Char Char13"/>
    <w:uiPriority w:val="0"/>
    <w:rPr>
      <w:rFonts w:eastAsia="宋体"/>
      <w:b/>
      <w:bCs/>
      <w:sz w:val="24"/>
      <w:szCs w:val="24"/>
      <w:lang w:val="en-US" w:eastAsia="zh-CN" w:bidi="ar-SA"/>
    </w:rPr>
  </w:style>
  <w:style w:type="character" w:customStyle="1" w:styleId="74">
    <w:name w:val="Char Char10"/>
    <w:uiPriority w:val="0"/>
    <w:rPr>
      <w:rFonts w:eastAsia="宋体"/>
      <w:kern w:val="2"/>
      <w:sz w:val="18"/>
      <w:szCs w:val="18"/>
      <w:lang w:val="en-US" w:eastAsia="zh-CN" w:bidi="ar-SA"/>
    </w:rPr>
  </w:style>
  <w:style w:type="character" w:customStyle="1" w:styleId="75">
    <w:name w:val="标题5 Char Char"/>
    <w:link w:val="76"/>
    <w:uiPriority w:val="0"/>
    <w:rPr>
      <w:rFonts w:ascii="Arial" w:hAnsi="Arial"/>
      <w:b/>
      <w:bCs/>
      <w:sz w:val="24"/>
      <w:szCs w:val="32"/>
      <w:lang w:bidi="ar-SA"/>
    </w:rPr>
  </w:style>
  <w:style w:type="paragraph" w:customStyle="1" w:styleId="76">
    <w:name w:val="标题5"/>
    <w:basedOn w:val="4"/>
    <w:link w:val="75"/>
    <w:uiPriority w:val="0"/>
    <w:pPr>
      <w:widowControl w:val="0"/>
      <w:tabs>
        <w:tab w:val="clear" w:pos="720"/>
      </w:tabs>
      <w:spacing w:before="260" w:after="260" w:line="413" w:lineRule="auto"/>
      <w:ind w:left="720" w:hanging="720"/>
      <w:jc w:val="both"/>
    </w:pPr>
    <w:rPr>
      <w:rFonts w:ascii="Arial" w:hAnsi="Arial"/>
      <w:bCs/>
      <w:sz w:val="24"/>
      <w:szCs w:val="32"/>
    </w:rPr>
  </w:style>
  <w:style w:type="character" w:customStyle="1" w:styleId="77">
    <w:name w:val="fontstyle01"/>
    <w:basedOn w:val="34"/>
    <w:uiPriority w:val="0"/>
    <w:rPr>
      <w:rFonts w:ascii="宋体" w:hAnsi="宋体" w:eastAsia="宋体" w:cs="宋体"/>
      <w:color w:val="000000"/>
      <w:sz w:val="24"/>
      <w:szCs w:val="24"/>
    </w:rPr>
  </w:style>
  <w:style w:type="character" w:customStyle="1" w:styleId="78">
    <w:name w:val="Char Char18"/>
    <w:uiPriority w:val="0"/>
    <w:rPr>
      <w:rFonts w:ascii="Cambria" w:hAnsi="Cambria" w:eastAsia="宋体"/>
      <w:b/>
      <w:bCs/>
      <w:kern w:val="2"/>
      <w:sz w:val="32"/>
      <w:szCs w:val="32"/>
      <w:lang w:val="en-US" w:eastAsia="zh-CN" w:bidi="ar-SA"/>
    </w:rPr>
  </w:style>
  <w:style w:type="character" w:customStyle="1" w:styleId="79">
    <w:name w:val="Char Char15"/>
    <w:uiPriority w:val="0"/>
    <w:rPr>
      <w:rFonts w:ascii="Calibri" w:hAnsi="Calibri" w:eastAsia="宋体"/>
      <w:b/>
      <w:bCs/>
      <w:kern w:val="2"/>
      <w:sz w:val="28"/>
      <w:szCs w:val="28"/>
      <w:lang w:val="en-US" w:eastAsia="zh-CN" w:bidi="ar-SA"/>
    </w:rPr>
  </w:style>
  <w:style w:type="character" w:customStyle="1" w:styleId="80">
    <w:name w:val="Char Char4"/>
    <w:uiPriority w:val="0"/>
    <w:rPr>
      <w:rFonts w:ascii="Cambria" w:hAnsi="Cambria"/>
      <w:b/>
      <w:bCs/>
      <w:kern w:val="28"/>
      <w:sz w:val="32"/>
      <w:szCs w:val="32"/>
      <w:lang w:bidi="ar-SA"/>
    </w:rPr>
  </w:style>
  <w:style w:type="character" w:customStyle="1" w:styleId="81">
    <w:name w:val="Char Char12"/>
    <w:uiPriority w:val="0"/>
    <w:rPr>
      <w:rFonts w:ascii="Arial" w:hAnsi="Arial" w:eastAsia="黑体"/>
      <w:sz w:val="24"/>
      <w:szCs w:val="24"/>
      <w:lang w:val="en-US" w:eastAsia="zh-CN" w:bidi="ar-SA"/>
    </w:rPr>
  </w:style>
  <w:style w:type="character" w:customStyle="1" w:styleId="82">
    <w:name w:val="Char Char14"/>
    <w:qFormat/>
    <w:uiPriority w:val="0"/>
    <w:rPr>
      <w:rFonts w:ascii="Arial" w:hAnsi="Arial" w:eastAsia="黑体"/>
      <w:b/>
      <w:bCs/>
      <w:sz w:val="24"/>
      <w:szCs w:val="24"/>
      <w:lang w:val="en-US" w:eastAsia="zh-CN" w:bidi="ar-SA"/>
    </w:rPr>
  </w:style>
  <w:style w:type="character" w:customStyle="1" w:styleId="83">
    <w:name w:val="Char Char9"/>
    <w:qFormat/>
    <w:uiPriority w:val="0"/>
    <w:rPr>
      <w:rFonts w:eastAsia="宋体"/>
      <w:b/>
      <w:bCs/>
      <w:kern w:val="2"/>
      <w:sz w:val="21"/>
      <w:szCs w:val="24"/>
      <w:lang w:val="en-US" w:eastAsia="zh-CN" w:bidi="ar-SA"/>
    </w:rPr>
  </w:style>
  <w:style w:type="character" w:customStyle="1" w:styleId="84">
    <w:name w:val="Char Char11"/>
    <w:qFormat/>
    <w:uiPriority w:val="0"/>
    <w:rPr>
      <w:rFonts w:ascii="Arial" w:hAnsi="Arial" w:eastAsia="黑体"/>
      <w:sz w:val="21"/>
      <w:szCs w:val="21"/>
      <w:lang w:val="en-US" w:eastAsia="zh-CN" w:bidi="ar-SA"/>
    </w:rPr>
  </w:style>
  <w:style w:type="character" w:customStyle="1" w:styleId="85">
    <w:name w:val="Char Char19"/>
    <w:qFormat/>
    <w:uiPriority w:val="0"/>
    <w:rPr>
      <w:rFonts w:ascii="黑体" w:eastAsia="黑体"/>
      <w:sz w:val="52"/>
      <w:lang w:val="en-US" w:eastAsia="zh-CN" w:bidi="ar-SA"/>
    </w:rPr>
  </w:style>
  <w:style w:type="character" w:customStyle="1" w:styleId="86">
    <w:name w:val="Char Char7"/>
    <w:qFormat/>
    <w:uiPriority w:val="0"/>
    <w:rPr>
      <w:rFonts w:eastAsia="宋体"/>
      <w:kern w:val="2"/>
      <w:sz w:val="18"/>
      <w:szCs w:val="18"/>
      <w:lang w:val="en-US" w:eastAsia="zh-CN" w:bidi="ar-SA"/>
    </w:rPr>
  </w:style>
  <w:style w:type="character" w:customStyle="1" w:styleId="87">
    <w:name w:val="普通文字 Char Char"/>
    <w:qFormat/>
    <w:uiPriority w:val="0"/>
    <w:rPr>
      <w:rFonts w:ascii="宋体" w:hAnsi="Courier New" w:eastAsia="宋体" w:cs="Courier New"/>
      <w:kern w:val="2"/>
      <w:sz w:val="21"/>
      <w:szCs w:val="21"/>
      <w:lang w:val="en-US" w:eastAsia="zh-CN" w:bidi="ar-SA"/>
    </w:rPr>
  </w:style>
  <w:style w:type="character" w:customStyle="1" w:styleId="88">
    <w:name w:val="style261"/>
    <w:qFormat/>
    <w:uiPriority w:val="0"/>
    <w:rPr>
      <w:sz w:val="20"/>
      <w:szCs w:val="20"/>
    </w:rPr>
  </w:style>
  <w:style w:type="character" w:customStyle="1" w:styleId="89">
    <w:name w:val="明显引用 Char"/>
    <w:link w:val="90"/>
    <w:qFormat/>
    <w:uiPriority w:val="0"/>
    <w:rPr>
      <w:b/>
      <w:bCs/>
      <w:i/>
      <w:iCs/>
      <w:color w:val="4F81BD"/>
      <w:kern w:val="2"/>
      <w:sz w:val="21"/>
      <w:szCs w:val="22"/>
      <w:lang w:bidi="ar-SA"/>
    </w:rPr>
  </w:style>
  <w:style w:type="paragraph" w:styleId="90">
    <w:name w:val="Intense Quote"/>
    <w:basedOn w:val="1"/>
    <w:next w:val="1"/>
    <w:link w:val="89"/>
    <w:qFormat/>
    <w:uiPriority w:val="0"/>
    <w:pPr>
      <w:pBdr>
        <w:bottom w:val="single" w:color="4F81BD" w:sz="4" w:space="4"/>
      </w:pBdr>
      <w:spacing w:before="200" w:after="280"/>
      <w:ind w:left="936" w:right="936"/>
    </w:pPr>
    <w:rPr>
      <w:b/>
      <w:bCs/>
      <w:i/>
      <w:iCs/>
      <w:color w:val="4F81BD"/>
      <w:szCs w:val="22"/>
    </w:rPr>
  </w:style>
  <w:style w:type="character" w:customStyle="1" w:styleId="91">
    <w:name w:val="Char Char16"/>
    <w:qFormat/>
    <w:uiPriority w:val="0"/>
    <w:rPr>
      <w:rFonts w:ascii="Arial" w:hAnsi="Arial" w:eastAsia="黑体"/>
      <w:b/>
      <w:bCs/>
      <w:kern w:val="2"/>
      <w:sz w:val="28"/>
      <w:szCs w:val="28"/>
      <w:lang w:val="en-US" w:eastAsia="zh-CN" w:bidi="ar-SA"/>
    </w:rPr>
  </w:style>
  <w:style w:type="paragraph" w:customStyle="1" w:styleId="92">
    <w:name w:val="Char1"/>
    <w:basedOn w:val="1"/>
    <w:qFormat/>
    <w:uiPriority w:val="0"/>
    <w:pPr>
      <w:jc w:val="center"/>
    </w:pPr>
    <w:rPr>
      <w:rFonts w:ascii="仿宋_GB2312" w:eastAsia="仿宋_GB2312"/>
      <w:b/>
      <w:kern w:val="0"/>
      <w:sz w:val="32"/>
      <w:szCs w:val="32"/>
      <w:lang w:val="en-GB"/>
    </w:rPr>
  </w:style>
  <w:style w:type="paragraph" w:styleId="93">
    <w:name w:val="List Paragraph"/>
    <w:basedOn w:val="1"/>
    <w:qFormat/>
    <w:uiPriority w:val="34"/>
    <w:pPr>
      <w:ind w:firstLine="420" w:firstLineChars="200"/>
    </w:pPr>
  </w:style>
  <w:style w:type="paragraph" w:customStyle="1" w:styleId="94">
    <w:name w:val="Char Char Char2 Char"/>
    <w:basedOn w:val="1"/>
    <w:qFormat/>
    <w:uiPriority w:val="0"/>
    <w:pPr>
      <w:tabs>
        <w:tab w:val="left" w:pos="960"/>
      </w:tabs>
      <w:ind w:left="960" w:hanging="960"/>
    </w:pPr>
  </w:style>
  <w:style w:type="paragraph" w:customStyle="1" w:styleId="95">
    <w:name w:val="Char9"/>
    <w:basedOn w:val="1"/>
    <w:qFormat/>
    <w:uiPriority w:val="0"/>
    <w:rPr>
      <w:rFonts w:ascii="Tahoma" w:hAnsi="Tahoma" w:cs="Tahoma"/>
      <w:sz w:val="24"/>
    </w:rPr>
  </w:style>
  <w:style w:type="paragraph" w:customStyle="1" w:styleId="96">
    <w:name w:val="p0"/>
    <w:basedOn w:val="1"/>
    <w:qFormat/>
    <w:uiPriority w:val="0"/>
    <w:pPr>
      <w:widowControl/>
      <w:spacing w:line="408" w:lineRule="auto"/>
      <w:ind w:left="1"/>
    </w:pPr>
    <w:rPr>
      <w:color w:val="000000"/>
      <w:kern w:val="0"/>
      <w:szCs w:val="21"/>
    </w:rPr>
  </w:style>
  <w:style w:type="paragraph" w:customStyle="1" w:styleId="97">
    <w:name w:val="Char"/>
    <w:basedOn w:val="1"/>
    <w:qFormat/>
    <w:uiPriority w:val="0"/>
  </w:style>
  <w:style w:type="paragraph" w:customStyle="1" w:styleId="9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9">
    <w:name w:val="Char Char Char Char Char Char3 Char Char Char Char Char Char Char"/>
    <w:basedOn w:val="1"/>
    <w:next w:val="1"/>
    <w:qFormat/>
    <w:uiPriority w:val="0"/>
    <w:rPr>
      <w:rFonts w:ascii="宋体" w:hAnsi="宋体"/>
      <w:szCs w:val="20"/>
    </w:rPr>
  </w:style>
  <w:style w:type="paragraph" w:customStyle="1" w:styleId="100">
    <w:name w:val="Char2"/>
    <w:basedOn w:val="1"/>
    <w:qFormat/>
    <w:uiPriority w:val="0"/>
    <w:rPr>
      <w:rFonts w:ascii="Tahoma" w:hAnsi="Tahoma"/>
      <w:sz w:val="24"/>
      <w:szCs w:val="20"/>
    </w:rPr>
  </w:style>
  <w:style w:type="paragraph" w:customStyle="1" w:styleId="101">
    <w:name w:val="Char Char Char Char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6628</Words>
  <Characters>6935</Characters>
  <Lines>53</Lines>
  <Paragraphs>14</Paragraphs>
  <TotalTime>23</TotalTime>
  <ScaleCrop>false</ScaleCrop>
  <LinksUpToDate>false</LinksUpToDate>
  <CharactersWithSpaces>7214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2022-07-11T03:19:00Z</dcterms:created>
  <dc:creator>Administrators</dc:creator>
  <cp:lastModifiedBy>Administrator</cp:lastModifiedBy>
  <cp:lastPrinted>2022-07-09T01:02:00Z</cp:lastPrinted>
  <dcterms:modified xsi:type="dcterms:W3CDTF">2022-07-12T06:14:52Z</dcterms:modified>
  <dc:title>温岭市工程建设项目施工招标</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41A3447BFED54A08AED801DA821AFB6D</vt:lpwstr>
  </property>
</Properties>
</file>