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ascii="Times New Roman"/>
          <w:sz w:val="20"/>
        </w:rPr>
      </w:pPr>
    </w:p>
    <w:p>
      <w:pPr>
        <w:pStyle w:val="11"/>
        <w:rPr>
          <w:rFonts w:ascii="Times New Roman"/>
          <w:sz w:val="20"/>
        </w:rPr>
      </w:pPr>
    </w:p>
    <w:p>
      <w:pPr>
        <w:pStyle w:val="4"/>
        <w:spacing w:before="173" w:line="336" w:lineRule="auto"/>
        <w:ind w:left="826" w:right="1084"/>
      </w:pPr>
      <w:r>
        <w:rPr>
          <w:rFonts w:hint="eastAsia"/>
          <w:lang w:eastAsia="zh-CN"/>
        </w:rPr>
        <w:t>温岭市新河镇XH010201地块</w:t>
      </w:r>
      <w:r>
        <w:t>监理</w:t>
      </w:r>
    </w:p>
    <w:p>
      <w:pPr>
        <w:pStyle w:val="4"/>
        <w:spacing w:before="173" w:line="336" w:lineRule="auto"/>
        <w:ind w:left="826" w:right="1084"/>
      </w:pPr>
      <w:r>
        <w:t>招标文件</w:t>
      </w:r>
    </w:p>
    <w:p>
      <w:pPr>
        <w:pStyle w:val="11"/>
        <w:rPr>
          <w:b/>
          <w:sz w:val="52"/>
        </w:rPr>
      </w:pPr>
    </w:p>
    <w:p>
      <w:pPr>
        <w:pStyle w:val="11"/>
        <w:rPr>
          <w:sz w:val="28"/>
        </w:rPr>
      </w:pPr>
    </w:p>
    <w:p>
      <w:pPr>
        <w:pStyle w:val="11"/>
        <w:rPr>
          <w:sz w:val="28"/>
        </w:rPr>
      </w:pPr>
    </w:p>
    <w:p>
      <w:pPr>
        <w:pStyle w:val="11"/>
        <w:rPr>
          <w:sz w:val="28"/>
        </w:rPr>
      </w:pPr>
    </w:p>
    <w:p>
      <w:pPr>
        <w:pStyle w:val="11"/>
        <w:rPr>
          <w:sz w:val="28"/>
        </w:rPr>
      </w:pPr>
    </w:p>
    <w:p>
      <w:pPr>
        <w:pStyle w:val="11"/>
        <w:spacing w:before="5"/>
        <w:rPr>
          <w:sz w:val="30"/>
        </w:rPr>
      </w:pPr>
    </w:p>
    <w:p>
      <w:pPr>
        <w:spacing w:before="61"/>
        <w:ind w:right="0" w:firstLine="1400" w:firstLineChars="500"/>
        <w:jc w:val="left"/>
        <w:rPr>
          <w:sz w:val="28"/>
        </w:rPr>
      </w:pPr>
      <w:r>
        <w:rPr>
          <w:sz w:val="28"/>
        </w:rPr>
        <w:t>招标项目：</w:t>
      </w:r>
      <w:r>
        <w:rPr>
          <w:rFonts w:hint="eastAsia"/>
          <w:sz w:val="28"/>
          <w:u w:val="single"/>
          <w:lang w:eastAsia="zh-CN"/>
        </w:rPr>
        <w:t>温岭市新河镇XH010201地块</w:t>
      </w:r>
      <w:r>
        <w:rPr>
          <w:spacing w:val="-1"/>
          <w:sz w:val="28"/>
          <w:u w:val="single"/>
        </w:rPr>
        <w:t>监理</w:t>
      </w:r>
    </w:p>
    <w:p>
      <w:pPr>
        <w:pStyle w:val="11"/>
        <w:rPr>
          <w:sz w:val="20"/>
        </w:rPr>
      </w:pPr>
    </w:p>
    <w:p>
      <w:pPr>
        <w:pStyle w:val="11"/>
        <w:spacing w:before="3"/>
        <w:rPr>
          <w:sz w:val="20"/>
        </w:rPr>
      </w:pPr>
    </w:p>
    <w:p>
      <w:pPr>
        <w:spacing w:before="62"/>
        <w:ind w:left="1388" w:right="0" w:firstLine="0"/>
        <w:jc w:val="left"/>
        <w:rPr>
          <w:rFonts w:hint="eastAsia" w:eastAsia="宋体"/>
          <w:sz w:val="28"/>
          <w:lang w:eastAsia="zh-CN"/>
        </w:rPr>
      </w:pPr>
      <w:r>
        <w:rPr>
          <w:spacing w:val="-1"/>
          <w:sz w:val="28"/>
        </w:rPr>
        <w:t>招 标 人：</w:t>
      </w:r>
      <w:r>
        <w:rPr>
          <w:rFonts w:hint="eastAsia"/>
          <w:spacing w:val="-3"/>
          <w:sz w:val="28"/>
          <w:u w:val="single"/>
          <w:lang w:eastAsia="zh-CN"/>
        </w:rPr>
        <w:t>温岭市金港投资发展有限公司</w:t>
      </w:r>
    </w:p>
    <w:p>
      <w:pPr>
        <w:pStyle w:val="11"/>
        <w:rPr>
          <w:sz w:val="20"/>
        </w:rPr>
      </w:pPr>
    </w:p>
    <w:p>
      <w:pPr>
        <w:pStyle w:val="11"/>
        <w:spacing w:before="5"/>
        <w:rPr>
          <w:sz w:val="19"/>
        </w:rPr>
      </w:pPr>
    </w:p>
    <w:p>
      <w:pPr>
        <w:tabs>
          <w:tab w:val="left" w:pos="4046"/>
          <w:tab w:val="left" w:pos="4887"/>
        </w:tabs>
        <w:spacing w:before="73"/>
        <w:ind w:left="1388" w:right="0" w:firstLine="0"/>
        <w:jc w:val="left"/>
        <w:rPr>
          <w:rFonts w:hint="eastAsia" w:ascii="Times New Roman" w:eastAsia="宋体"/>
          <w:sz w:val="28"/>
          <w:lang w:eastAsia="zh-CN"/>
        </w:rPr>
      </w:pPr>
      <w:r>
        <w:rPr>
          <w:sz w:val="28"/>
        </w:rPr>
        <w:t>联 系 人</w:t>
      </w:r>
      <w:r>
        <w:rPr>
          <w:spacing w:val="-3"/>
          <w:sz w:val="28"/>
        </w:rPr>
        <w:t>：</w:t>
      </w:r>
      <w:r>
        <w:rPr>
          <w:rFonts w:hint="eastAsia"/>
          <w:sz w:val="28"/>
          <w:u w:val="single"/>
          <w:lang w:eastAsia="zh-CN"/>
        </w:rPr>
        <w:t>鲍先生</w:t>
      </w:r>
      <w:r>
        <w:rPr>
          <w:sz w:val="28"/>
          <w:u w:val="single"/>
        </w:rPr>
        <w:tab/>
      </w:r>
      <w:r>
        <w:rPr>
          <w:sz w:val="28"/>
        </w:rPr>
        <w:tab/>
      </w:r>
      <w:r>
        <w:rPr>
          <w:sz w:val="28"/>
        </w:rPr>
        <w:t>联</w:t>
      </w:r>
      <w:r>
        <w:rPr>
          <w:spacing w:val="-3"/>
          <w:sz w:val="28"/>
        </w:rPr>
        <w:t>系</w:t>
      </w:r>
      <w:r>
        <w:rPr>
          <w:sz w:val="28"/>
        </w:rPr>
        <w:t>电话：</w:t>
      </w:r>
      <w:r>
        <w:rPr>
          <w:rFonts w:hint="eastAsia" w:ascii="Times New Roman"/>
          <w:sz w:val="28"/>
          <w:u w:val="single"/>
          <w:lang w:eastAsia="zh-CN"/>
        </w:rPr>
        <w:t>17858692250</w:t>
      </w:r>
    </w:p>
    <w:p>
      <w:pPr>
        <w:pStyle w:val="11"/>
        <w:rPr>
          <w:rFonts w:ascii="Times New Roman"/>
          <w:sz w:val="20"/>
        </w:rPr>
      </w:pPr>
    </w:p>
    <w:p>
      <w:pPr>
        <w:pStyle w:val="11"/>
        <w:spacing w:before="9"/>
        <w:rPr>
          <w:rFonts w:ascii="Times New Roman"/>
        </w:rPr>
      </w:pPr>
    </w:p>
    <w:p>
      <w:pPr>
        <w:spacing w:before="62"/>
        <w:ind w:left="1388" w:right="0" w:firstLine="0"/>
        <w:jc w:val="left"/>
        <w:rPr>
          <w:rFonts w:hint="eastAsia" w:eastAsia="宋体"/>
          <w:sz w:val="28"/>
          <w:lang w:eastAsia="zh-CN"/>
        </w:rPr>
      </w:pPr>
      <w:r>
        <w:rPr>
          <w:sz w:val="28"/>
        </w:rPr>
        <w:t>招标代理机构：</w:t>
      </w:r>
      <w:r>
        <w:rPr>
          <w:rFonts w:hint="eastAsia"/>
          <w:sz w:val="28"/>
          <w:u w:val="single"/>
          <w:lang w:eastAsia="zh-CN"/>
        </w:rPr>
        <w:t>浙江新诚信工程造价咨询有限公司</w:t>
      </w:r>
    </w:p>
    <w:p>
      <w:pPr>
        <w:pStyle w:val="11"/>
        <w:rPr>
          <w:sz w:val="20"/>
        </w:rPr>
      </w:pPr>
    </w:p>
    <w:p>
      <w:pPr>
        <w:pStyle w:val="11"/>
        <w:spacing w:before="4"/>
        <w:rPr>
          <w:sz w:val="19"/>
        </w:rPr>
      </w:pPr>
    </w:p>
    <w:p>
      <w:pPr>
        <w:tabs>
          <w:tab w:val="left" w:pos="4467"/>
        </w:tabs>
        <w:spacing w:before="73"/>
        <w:ind w:left="1388" w:right="0" w:firstLine="0"/>
        <w:jc w:val="left"/>
        <w:rPr>
          <w:rFonts w:hint="eastAsia" w:ascii="Times New Roman" w:eastAsia="宋体"/>
          <w:sz w:val="28"/>
          <w:lang w:eastAsia="zh-CN"/>
        </w:rPr>
      </w:pPr>
      <w:r>
        <w:rPr>
          <w:sz w:val="28"/>
        </w:rPr>
        <w:t>联 系 人</w:t>
      </w:r>
      <w:r>
        <w:rPr>
          <w:spacing w:val="-3"/>
          <w:sz w:val="28"/>
        </w:rPr>
        <w:t>：</w:t>
      </w:r>
      <w:r>
        <w:rPr>
          <w:rFonts w:hint="eastAsia"/>
          <w:sz w:val="28"/>
          <w:u w:val="single"/>
          <w:lang w:eastAsia="zh-CN"/>
        </w:rPr>
        <w:t>柯光</w:t>
      </w:r>
      <w:r>
        <w:rPr>
          <w:sz w:val="28"/>
        </w:rPr>
        <w:tab/>
      </w:r>
      <w:r>
        <w:rPr>
          <w:sz w:val="28"/>
        </w:rPr>
        <w:t>联</w:t>
      </w:r>
      <w:r>
        <w:rPr>
          <w:spacing w:val="-3"/>
          <w:sz w:val="28"/>
        </w:rPr>
        <w:t>系</w:t>
      </w:r>
      <w:r>
        <w:rPr>
          <w:sz w:val="28"/>
        </w:rPr>
        <w:t>电话：</w:t>
      </w:r>
      <w:r>
        <w:rPr>
          <w:rFonts w:hint="eastAsia" w:ascii="Times New Roman"/>
          <w:sz w:val="28"/>
          <w:u w:val="single"/>
          <w:lang w:eastAsia="zh-CN"/>
        </w:rPr>
        <w:t>13566672626</w:t>
      </w:r>
    </w:p>
    <w:p>
      <w:pPr>
        <w:pStyle w:val="11"/>
        <w:rPr>
          <w:rFonts w:ascii="Times New Roman"/>
          <w:sz w:val="20"/>
        </w:rPr>
      </w:pPr>
    </w:p>
    <w:p>
      <w:pPr>
        <w:pStyle w:val="11"/>
        <w:rPr>
          <w:rFonts w:ascii="Times New Roman"/>
          <w:sz w:val="20"/>
        </w:rPr>
      </w:pPr>
    </w:p>
    <w:p>
      <w:pPr>
        <w:pStyle w:val="11"/>
        <w:rPr>
          <w:rFonts w:ascii="Times New Roman"/>
          <w:sz w:val="20"/>
        </w:rPr>
      </w:pPr>
    </w:p>
    <w:p>
      <w:pPr>
        <w:spacing w:before="219"/>
        <w:ind w:left="223" w:right="510" w:firstLine="0"/>
        <w:jc w:val="center"/>
        <w:rPr>
          <w:sz w:val="28"/>
        </w:rPr>
      </w:pPr>
      <w:r>
        <w:rPr>
          <w:rFonts w:ascii="Times New Roman" w:eastAsia="Times New Roman"/>
          <w:sz w:val="28"/>
          <w:u w:val="single"/>
        </w:rPr>
        <w:t xml:space="preserve">2020 </w:t>
      </w:r>
      <w:r>
        <w:rPr>
          <w:sz w:val="28"/>
          <w:u w:val="single"/>
        </w:rPr>
        <w:t xml:space="preserve">年 </w:t>
      </w:r>
      <w:r>
        <w:rPr>
          <w:rFonts w:hint="eastAsia" w:ascii="Times New Roman"/>
          <w:sz w:val="28"/>
          <w:u w:val="single"/>
          <w:lang w:val="en-US" w:eastAsia="zh-CN"/>
        </w:rPr>
        <w:t>7</w:t>
      </w:r>
      <w:r>
        <w:rPr>
          <w:sz w:val="28"/>
          <w:u w:val="single"/>
        </w:rPr>
        <w:t>月</w:t>
      </w:r>
    </w:p>
    <w:p>
      <w:pPr>
        <w:spacing w:after="0"/>
        <w:jc w:val="center"/>
        <w:rPr>
          <w:sz w:val="28"/>
        </w:rPr>
        <w:sectPr>
          <w:footerReference r:id="rId3" w:type="default"/>
          <w:type w:val="continuous"/>
          <w:pgSz w:w="11910" w:h="16840"/>
          <w:pgMar w:top="1580" w:right="360" w:bottom="1220" w:left="760" w:header="720" w:footer="1029" w:gutter="0"/>
          <w:pgNumType w:start="1"/>
        </w:sectPr>
      </w:pPr>
    </w:p>
    <w:p>
      <w:pPr>
        <w:pStyle w:val="11"/>
        <w:rPr>
          <w:sz w:val="20"/>
        </w:rPr>
      </w:pPr>
    </w:p>
    <w:p>
      <w:pPr>
        <w:pStyle w:val="11"/>
        <w:spacing w:before="8"/>
      </w:pPr>
    </w:p>
    <w:p>
      <w:pPr>
        <w:tabs>
          <w:tab w:val="left" w:pos="561"/>
        </w:tabs>
        <w:spacing w:before="61"/>
        <w:ind w:left="0" w:right="287" w:firstLine="0"/>
        <w:jc w:val="center"/>
        <w:rPr>
          <w:b/>
          <w:sz w:val="28"/>
        </w:rPr>
      </w:pPr>
      <w:r>
        <w:rPr>
          <w:b/>
          <w:sz w:val="28"/>
        </w:rPr>
        <w:t>目</w:t>
      </w:r>
      <w:r>
        <w:rPr>
          <w:b/>
          <w:sz w:val="28"/>
        </w:rPr>
        <w:tab/>
      </w:r>
      <w:r>
        <w:rPr>
          <w:b/>
          <w:sz w:val="28"/>
        </w:rPr>
        <w:t>录</w:t>
      </w:r>
    </w:p>
    <w:p>
      <w:pPr>
        <w:pStyle w:val="11"/>
        <w:spacing w:before="9"/>
        <w:rPr>
          <w:b/>
          <w:sz w:val="17"/>
        </w:rPr>
      </w:pPr>
    </w:p>
    <w:p>
      <w:pPr>
        <w:pStyle w:val="10"/>
        <w:tabs>
          <w:tab w:val="left" w:pos="2268"/>
        </w:tabs>
        <w:spacing w:before="67"/>
        <w:ind w:left="1306"/>
      </w:pPr>
      <w:r>
        <w:t>第一章</w:t>
      </w:r>
      <w:r>
        <w:tab/>
      </w:r>
      <w:r>
        <w:t>招标公告</w:t>
      </w:r>
    </w:p>
    <w:p>
      <w:pPr>
        <w:tabs>
          <w:tab w:val="left" w:pos="2268"/>
        </w:tabs>
        <w:spacing w:before="191" w:line="388" w:lineRule="auto"/>
        <w:ind w:left="1786" w:right="5143" w:hanging="480"/>
        <w:jc w:val="left"/>
        <w:rPr>
          <w:sz w:val="24"/>
        </w:rPr>
      </w:pPr>
      <w:r>
        <w:rPr>
          <w:b/>
          <w:sz w:val="24"/>
        </w:rPr>
        <w:t>第二章</w:t>
      </w:r>
      <w:r>
        <w:rPr>
          <w:b/>
          <w:sz w:val="24"/>
        </w:rPr>
        <w:tab/>
      </w:r>
      <w:r>
        <w:rPr>
          <w:b/>
          <w:sz w:val="24"/>
        </w:rPr>
        <w:t>投标人须知前附表及投标人须</w:t>
      </w:r>
      <w:r>
        <w:rPr>
          <w:b/>
          <w:spacing w:val="-15"/>
          <w:sz w:val="24"/>
        </w:rPr>
        <w:t>知</w:t>
      </w:r>
      <w:r>
        <w:rPr>
          <w:sz w:val="24"/>
        </w:rPr>
        <w:t>一、投标人须知前附表</w:t>
      </w:r>
    </w:p>
    <w:p>
      <w:pPr>
        <w:pStyle w:val="11"/>
        <w:tabs>
          <w:tab w:val="left" w:pos="3226"/>
        </w:tabs>
        <w:spacing w:before="5" w:line="388" w:lineRule="auto"/>
        <w:ind w:left="2266" w:right="7077" w:hanging="480"/>
      </w:pPr>
      <w:r>
        <w:t>二、投标人须知 第一节</w:t>
      </w:r>
      <w:r>
        <w:tab/>
      </w:r>
      <w:r>
        <w:t>总</w:t>
      </w:r>
      <w:r>
        <w:rPr>
          <w:spacing w:val="-17"/>
        </w:rPr>
        <w:t>则</w:t>
      </w:r>
    </w:p>
    <w:p>
      <w:pPr>
        <w:pStyle w:val="11"/>
        <w:tabs>
          <w:tab w:val="left" w:pos="3226"/>
        </w:tabs>
        <w:spacing w:before="2"/>
        <w:ind w:left="2266"/>
      </w:pPr>
      <w:r>
        <w:t>第二节</w:t>
      </w:r>
      <w:r>
        <w:tab/>
      </w:r>
      <w:r>
        <w:t>招标文件</w:t>
      </w:r>
    </w:p>
    <w:p>
      <w:pPr>
        <w:pStyle w:val="11"/>
        <w:tabs>
          <w:tab w:val="left" w:pos="3226"/>
        </w:tabs>
        <w:spacing w:before="194" w:line="391" w:lineRule="auto"/>
        <w:ind w:left="2266" w:right="5637"/>
      </w:pPr>
      <w:r>
        <w:t>第三节</w:t>
      </w:r>
      <w:r>
        <w:tab/>
      </w:r>
      <w:r>
        <w:t>投标报价编制依</w:t>
      </w:r>
      <w:r>
        <w:rPr>
          <w:spacing w:val="-17"/>
        </w:rPr>
        <w:t>据</w:t>
      </w:r>
      <w:r>
        <w:t>第四节</w:t>
      </w:r>
      <w:r>
        <w:tab/>
      </w:r>
      <w:r>
        <w:t>投标文件的编制 第五节</w:t>
      </w:r>
      <w:r>
        <w:tab/>
      </w:r>
      <w:r>
        <w:t>投标文件的递交 第六节</w:t>
      </w:r>
      <w:r>
        <w:tab/>
      </w:r>
      <w:r>
        <w:t>开标</w:t>
      </w:r>
    </w:p>
    <w:p>
      <w:pPr>
        <w:pStyle w:val="11"/>
        <w:tabs>
          <w:tab w:val="left" w:pos="3226"/>
        </w:tabs>
        <w:spacing w:line="302" w:lineRule="exact"/>
        <w:ind w:left="2266"/>
      </w:pPr>
      <w:r>
        <w:t>第七节</w:t>
      </w:r>
      <w:r>
        <w:tab/>
      </w:r>
      <w:r>
        <w:t>评标</w:t>
      </w:r>
    </w:p>
    <w:p>
      <w:pPr>
        <w:pStyle w:val="11"/>
        <w:tabs>
          <w:tab w:val="left" w:pos="3226"/>
        </w:tabs>
        <w:spacing w:before="192"/>
        <w:ind w:left="2266"/>
      </w:pPr>
      <w:r>
        <w:t>第八节</w:t>
      </w:r>
      <w:r>
        <w:tab/>
      </w:r>
      <w:r>
        <w:t>合同授予</w:t>
      </w:r>
    </w:p>
    <w:p>
      <w:pPr>
        <w:pStyle w:val="11"/>
        <w:tabs>
          <w:tab w:val="left" w:pos="3226"/>
        </w:tabs>
        <w:spacing w:before="194" w:line="388" w:lineRule="auto"/>
        <w:ind w:left="2266" w:right="5397"/>
      </w:pPr>
      <w:r>
        <w:t>第九节</w:t>
      </w:r>
      <w:r>
        <w:tab/>
      </w:r>
      <w:r>
        <w:t>重新招标和不再招</w:t>
      </w:r>
      <w:r>
        <w:rPr>
          <w:spacing w:val="-17"/>
        </w:rPr>
        <w:t>标</w:t>
      </w:r>
      <w:r>
        <w:t>第十节</w:t>
      </w:r>
      <w:r>
        <w:tab/>
      </w:r>
      <w:r>
        <w:t>纪律和监督</w:t>
      </w:r>
    </w:p>
    <w:p>
      <w:pPr>
        <w:tabs>
          <w:tab w:val="left" w:pos="2268"/>
        </w:tabs>
        <w:spacing w:before="2" w:line="391" w:lineRule="auto"/>
        <w:ind w:left="1786" w:right="7552" w:hanging="480"/>
        <w:jc w:val="left"/>
        <w:rPr>
          <w:sz w:val="24"/>
        </w:rPr>
      </w:pPr>
      <w:r>
        <w:rPr>
          <w:b/>
          <w:sz w:val="24"/>
        </w:rPr>
        <w:t>第三章</w:t>
      </w:r>
      <w:r>
        <w:rPr>
          <w:b/>
          <w:sz w:val="24"/>
        </w:rPr>
        <w:tab/>
      </w:r>
      <w:r>
        <w:rPr>
          <w:b/>
          <w:sz w:val="24"/>
        </w:rPr>
        <w:t>评标办</w:t>
      </w:r>
      <w:r>
        <w:rPr>
          <w:b/>
          <w:spacing w:val="-16"/>
          <w:sz w:val="24"/>
        </w:rPr>
        <w:t>法</w:t>
      </w:r>
      <w:r>
        <w:rPr>
          <w:sz w:val="24"/>
        </w:rPr>
        <w:t>一、总则</w:t>
      </w:r>
    </w:p>
    <w:p>
      <w:pPr>
        <w:pStyle w:val="11"/>
        <w:spacing w:line="306" w:lineRule="exact"/>
        <w:ind w:left="1786"/>
      </w:pPr>
      <w:r>
        <w:t>二、评标程序</w:t>
      </w:r>
    </w:p>
    <w:p>
      <w:pPr>
        <w:spacing w:before="192" w:line="391" w:lineRule="auto"/>
        <w:ind w:left="1306" w:right="6830" w:firstLine="480"/>
        <w:jc w:val="both"/>
        <w:rPr>
          <w:b/>
          <w:sz w:val="24"/>
        </w:rPr>
      </w:pPr>
      <w:r>
        <w:rPr>
          <w:sz w:val="24"/>
        </w:rPr>
        <w:t>三、评标标准及办法</w:t>
      </w:r>
      <w:r>
        <w:rPr>
          <w:b/>
          <w:sz w:val="24"/>
        </w:rPr>
        <w:t>第四章 合同条款及格式第五章 投标文件格式</w:t>
      </w:r>
    </w:p>
    <w:p>
      <w:pPr>
        <w:spacing w:after="0" w:line="391" w:lineRule="auto"/>
        <w:jc w:val="both"/>
        <w:rPr>
          <w:sz w:val="24"/>
        </w:rPr>
        <w:sectPr>
          <w:pgSz w:w="11910" w:h="16840"/>
          <w:pgMar w:top="1580" w:right="360" w:bottom="1300" w:left="760" w:header="0" w:footer="1029" w:gutter="0"/>
        </w:sectPr>
      </w:pPr>
    </w:p>
    <w:p>
      <w:pPr>
        <w:pStyle w:val="11"/>
        <w:rPr>
          <w:b/>
          <w:sz w:val="20"/>
        </w:rPr>
      </w:pPr>
    </w:p>
    <w:p>
      <w:pPr>
        <w:pStyle w:val="11"/>
        <w:spacing w:before="8"/>
        <w:rPr>
          <w:b/>
        </w:rPr>
      </w:pPr>
    </w:p>
    <w:p>
      <w:pPr>
        <w:tabs>
          <w:tab w:val="left" w:pos="1123"/>
        </w:tabs>
        <w:spacing w:before="61"/>
        <w:ind w:left="0" w:right="284" w:firstLine="0"/>
        <w:jc w:val="center"/>
        <w:rPr>
          <w:b/>
          <w:sz w:val="28"/>
        </w:rPr>
      </w:pPr>
      <w:r>
        <w:rPr>
          <w:b/>
          <w:sz w:val="28"/>
        </w:rPr>
        <w:t>第一章</w:t>
      </w:r>
      <w:r>
        <w:rPr>
          <w:b/>
          <w:sz w:val="28"/>
        </w:rPr>
        <w:tab/>
      </w:r>
      <w:r>
        <w:rPr>
          <w:b/>
          <w:sz w:val="28"/>
        </w:rPr>
        <w:t>招标公告</w:t>
      </w:r>
    </w:p>
    <w:p>
      <w:pPr>
        <w:pStyle w:val="10"/>
        <w:spacing w:before="181"/>
      </w:pPr>
      <w:r>
        <w:t>1、招标条件</w:t>
      </w:r>
    </w:p>
    <w:p>
      <w:pPr>
        <w:pStyle w:val="11"/>
        <w:spacing w:before="52" w:line="280" w:lineRule="auto"/>
        <w:ind w:left="826" w:right="1111" w:firstLine="472"/>
        <w:jc w:val="both"/>
      </w:pPr>
      <w:r>
        <w:t>本招标项目</w:t>
      </w:r>
      <w:r>
        <w:rPr>
          <w:spacing w:val="-3"/>
          <w:u w:val="single"/>
        </w:rPr>
        <w:t xml:space="preserve"> </w:t>
      </w:r>
      <w:r>
        <w:rPr>
          <w:rFonts w:hint="eastAsia"/>
          <w:spacing w:val="-3"/>
          <w:u w:val="single"/>
          <w:lang w:eastAsia="zh-CN"/>
        </w:rPr>
        <w:t>温岭市新河镇XH010201地块</w:t>
      </w:r>
      <w:r>
        <w:rPr>
          <w:spacing w:val="-3"/>
          <w:u w:val="single"/>
        </w:rPr>
        <w:t xml:space="preserve"> </w:t>
      </w:r>
      <w:r>
        <w:rPr>
          <w:spacing w:val="-14"/>
        </w:rPr>
        <w:t>已</w:t>
      </w:r>
      <w:r>
        <w:t>由</w:t>
      </w:r>
      <w:r>
        <w:rPr>
          <w:rFonts w:hint="eastAsia" w:ascii="宋体" w:hAnsi="宋体" w:cs="宋体"/>
          <w:szCs w:val="21"/>
          <w:u w:val="single"/>
          <w:lang w:eastAsia="zh-CN"/>
        </w:rPr>
        <w:t>台州市温岭市发展和改革局</w:t>
      </w:r>
      <w:r>
        <w:rPr>
          <w:spacing w:val="-2"/>
          <w:u w:val="single"/>
        </w:rPr>
        <w:t xml:space="preserve"> </w:t>
      </w:r>
      <w:r>
        <w:t>以</w:t>
      </w:r>
      <w:r>
        <w:rPr>
          <w:rFonts w:hint="eastAsia"/>
          <w:spacing w:val="-8"/>
          <w:u w:val="single"/>
          <w:lang w:eastAsia="zh-CN"/>
        </w:rPr>
        <w:t>2020-331081-70-03-116684</w:t>
      </w:r>
      <w:r>
        <w:rPr>
          <w:spacing w:val="-6"/>
        </w:rPr>
        <w:t>批准建设，建设资金来自</w:t>
      </w:r>
      <w:r>
        <w:rPr>
          <w:spacing w:val="-4"/>
          <w:u w:val="single"/>
        </w:rPr>
        <w:t xml:space="preserve"> </w:t>
      </w:r>
      <w:r>
        <w:rPr>
          <w:spacing w:val="-3"/>
          <w:u w:val="single"/>
        </w:rPr>
        <w:t>自筹</w:t>
      </w:r>
      <w:r>
        <w:rPr>
          <w:spacing w:val="-3"/>
        </w:rPr>
        <w:t>，招标人为</w:t>
      </w:r>
      <w:r>
        <w:rPr>
          <w:u w:val="single"/>
        </w:rPr>
        <w:t xml:space="preserve"> </w:t>
      </w:r>
      <w:r>
        <w:rPr>
          <w:rFonts w:hint="eastAsia"/>
          <w:u w:val="single"/>
          <w:lang w:eastAsia="zh-CN"/>
        </w:rPr>
        <w:t>温岭市金港投资发展有限公司</w:t>
      </w:r>
      <w:r>
        <w:rPr>
          <w:u w:val="single"/>
        </w:rPr>
        <w:t xml:space="preserve"> </w:t>
      </w:r>
      <w:r>
        <w:rPr>
          <w:spacing w:val="-3"/>
        </w:rPr>
        <w:t>。项目已具备招标条件，现对该项目的监理进行</w:t>
      </w:r>
      <w:r>
        <w:rPr>
          <w:spacing w:val="-1"/>
          <w:u w:val="single"/>
        </w:rPr>
        <w:t xml:space="preserve"> 公开 </w:t>
      </w:r>
      <w:r>
        <w:t>招标。</w:t>
      </w:r>
    </w:p>
    <w:p>
      <w:pPr>
        <w:pStyle w:val="10"/>
        <w:spacing w:before="1" w:line="301" w:lineRule="exact"/>
      </w:pPr>
      <w:r>
        <w:t>2、项目概况与招标范围</w:t>
      </w:r>
    </w:p>
    <w:p>
      <w:pPr>
        <w:pStyle w:val="18"/>
        <w:numPr>
          <w:ilvl w:val="1"/>
          <w:numId w:val="1"/>
        </w:numPr>
        <w:tabs>
          <w:tab w:val="left" w:pos="1727"/>
        </w:tabs>
        <w:spacing w:before="16" w:after="0" w:line="218" w:lineRule="auto"/>
        <w:ind w:left="826" w:right="991" w:firstLine="480"/>
        <w:jc w:val="left"/>
        <w:rPr>
          <w:sz w:val="32"/>
          <w:szCs w:val="28"/>
        </w:rPr>
      </w:pPr>
      <w:r>
        <w:rPr>
          <w:sz w:val="24"/>
        </w:rPr>
        <w:t>项目概况：</w:t>
      </w:r>
      <w:r>
        <w:rPr>
          <w:rFonts w:hint="eastAsia" w:ascii="宋体" w:hAnsi="宋体" w:cs="宋体"/>
          <w:sz w:val="24"/>
          <w:szCs w:val="24"/>
        </w:rPr>
        <w:t>XH010201地块用地面积约8605.25㎡，总建筑面积：</w:t>
      </w:r>
      <w:r>
        <w:rPr>
          <w:rFonts w:hint="eastAsia" w:ascii="宋体" w:hAnsi="宋体" w:cs="宋体"/>
          <w:sz w:val="24"/>
          <w:szCs w:val="24"/>
          <w:lang w:val="en-US" w:eastAsia="zh-CN"/>
        </w:rPr>
        <w:t>42150</w:t>
      </w:r>
      <w:r>
        <w:rPr>
          <w:rFonts w:hint="eastAsia" w:ascii="宋体" w:hAnsi="宋体" w:cs="宋体"/>
          <w:sz w:val="24"/>
          <w:szCs w:val="24"/>
        </w:rPr>
        <w:t>㎡。1#厂房占地面积：790㎡</w:t>
      </w:r>
      <w:r>
        <w:rPr>
          <w:rFonts w:hint="eastAsia" w:ascii="宋体" w:hAnsi="宋体" w:cs="宋体"/>
          <w:sz w:val="24"/>
          <w:szCs w:val="24"/>
          <w:lang w:val="en-US" w:eastAsia="zh-CN"/>
        </w:rPr>
        <w:t>,</w:t>
      </w:r>
      <w:r>
        <w:rPr>
          <w:rFonts w:hint="eastAsia" w:ascii="宋体" w:hAnsi="宋体" w:cs="宋体"/>
          <w:sz w:val="24"/>
          <w:szCs w:val="24"/>
        </w:rPr>
        <w:t>建筑面积：4850㎡</w:t>
      </w:r>
      <w:r>
        <w:rPr>
          <w:rFonts w:hint="eastAsia" w:ascii="宋体" w:hAnsi="宋体" w:cs="宋体"/>
          <w:sz w:val="24"/>
          <w:szCs w:val="24"/>
          <w:lang w:val="en-US" w:eastAsia="zh-CN"/>
        </w:rPr>
        <w:t>,</w:t>
      </w:r>
      <w:r>
        <w:rPr>
          <w:rFonts w:hint="eastAsia" w:ascii="宋体" w:hAnsi="宋体" w:cs="宋体"/>
          <w:sz w:val="24"/>
          <w:szCs w:val="24"/>
        </w:rPr>
        <w:t>一层设置50㎡的垃圾收集站和配电房以及配电房, 物业经营用房、物业办公用房</w:t>
      </w:r>
      <w:r>
        <w:rPr>
          <w:rFonts w:hint="eastAsia" w:ascii="宋体" w:hAnsi="宋体" w:cs="宋体"/>
          <w:sz w:val="24"/>
          <w:szCs w:val="24"/>
          <w:lang w:val="en-US" w:eastAsia="zh-CN"/>
        </w:rPr>
        <w:t>,</w:t>
      </w:r>
      <w:r>
        <w:rPr>
          <w:rFonts w:hint="eastAsia" w:ascii="宋体" w:hAnsi="宋体" w:cs="宋体"/>
          <w:sz w:val="24"/>
          <w:szCs w:val="24"/>
        </w:rPr>
        <w:t>二~六层为丙类标准厂房</w:t>
      </w:r>
      <w:r>
        <w:rPr>
          <w:rFonts w:hint="eastAsia" w:ascii="宋体" w:hAnsi="宋体" w:cs="宋体"/>
          <w:sz w:val="24"/>
          <w:szCs w:val="24"/>
          <w:lang w:val="en-US" w:eastAsia="zh-CN"/>
        </w:rPr>
        <w:t>.</w:t>
      </w:r>
      <w:r>
        <w:rPr>
          <w:rFonts w:hint="eastAsia" w:ascii="宋体" w:hAnsi="宋体" w:cs="宋体"/>
          <w:sz w:val="24"/>
          <w:szCs w:val="24"/>
        </w:rPr>
        <w:t>2#厂房占地面积：3245㎡</w:t>
      </w:r>
      <w:r>
        <w:rPr>
          <w:rFonts w:hint="eastAsia" w:ascii="宋体" w:hAnsi="宋体" w:cs="宋体"/>
          <w:sz w:val="24"/>
          <w:szCs w:val="24"/>
          <w:lang w:val="en-US" w:eastAsia="zh-CN"/>
        </w:rPr>
        <w:t>,</w:t>
      </w:r>
      <w:r>
        <w:rPr>
          <w:rFonts w:hint="eastAsia" w:ascii="宋体" w:hAnsi="宋体" w:cs="宋体"/>
          <w:sz w:val="24"/>
          <w:szCs w:val="24"/>
        </w:rPr>
        <w:t>建筑面积：37300㎡，其中地上32750㎡，地下4550㎡</w:t>
      </w:r>
      <w:r>
        <w:rPr>
          <w:rFonts w:hint="eastAsia" w:ascii="宋体" w:hAnsi="宋体" w:cs="宋体"/>
          <w:sz w:val="24"/>
          <w:szCs w:val="24"/>
          <w:lang w:val="en-US" w:eastAsia="zh-CN"/>
        </w:rPr>
        <w:t>,</w:t>
      </w:r>
      <w:r>
        <w:rPr>
          <w:rFonts w:hint="eastAsia" w:ascii="宋体" w:hAnsi="宋体" w:cs="宋体"/>
          <w:sz w:val="24"/>
          <w:szCs w:val="24"/>
        </w:rPr>
        <w:t>一~十层为丙类标准厂房</w:t>
      </w:r>
      <w:r>
        <w:rPr>
          <w:rFonts w:hint="eastAsia" w:ascii="宋体" w:hAnsi="宋体" w:cs="宋体"/>
          <w:sz w:val="24"/>
          <w:szCs w:val="24"/>
          <w:lang w:val="en-US" w:eastAsia="zh-CN"/>
        </w:rPr>
        <w:t>.</w:t>
      </w:r>
      <w:r>
        <w:rPr>
          <w:rFonts w:hint="eastAsia" w:ascii="宋体" w:hAnsi="宋体" w:cs="宋体"/>
          <w:sz w:val="24"/>
          <w:szCs w:val="24"/>
        </w:rPr>
        <w:t>地下停车库设置</w:t>
      </w:r>
      <w:r>
        <w:rPr>
          <w:rFonts w:hint="eastAsia" w:ascii="宋体" w:hAnsi="宋体" w:cs="宋体"/>
          <w:color w:val="000000"/>
          <w:sz w:val="24"/>
          <w:szCs w:val="24"/>
        </w:rPr>
        <w:t>机动车停车库、设备房、消防水池、楼梯间</w:t>
      </w:r>
      <w:r>
        <w:rPr>
          <w:rFonts w:hint="eastAsia" w:ascii="宋体" w:hAnsi="宋体" w:cs="宋体"/>
          <w:color w:val="000000"/>
          <w:sz w:val="24"/>
          <w:szCs w:val="24"/>
          <w:lang w:val="en-US" w:eastAsia="zh-CN"/>
        </w:rPr>
        <w:t>等</w:t>
      </w:r>
      <w:r>
        <w:rPr>
          <w:rFonts w:hint="eastAsia" w:cs="宋体"/>
          <w:color w:val="000000"/>
          <w:sz w:val="24"/>
          <w:szCs w:val="24"/>
          <w:lang w:val="en-US" w:eastAsia="zh-CN"/>
        </w:rPr>
        <w:t>。</w:t>
      </w:r>
    </w:p>
    <w:p>
      <w:pPr>
        <w:pStyle w:val="11"/>
        <w:spacing w:line="288" w:lineRule="exact"/>
        <w:ind w:left="1306"/>
      </w:pPr>
      <w:r>
        <w:t>2.1.2 本工程造价：</w:t>
      </w:r>
      <w:r>
        <w:rPr>
          <w:rFonts w:hint="eastAsia"/>
          <w:u w:val="single"/>
          <w:lang w:val="en-US" w:eastAsia="zh-CN"/>
        </w:rPr>
        <w:t>74610000</w:t>
      </w:r>
      <w:r>
        <w:rPr>
          <w:u w:val="single"/>
        </w:rPr>
        <w:t>元</w:t>
      </w:r>
      <w:r>
        <w:t>。</w:t>
      </w:r>
    </w:p>
    <w:p>
      <w:pPr>
        <w:pStyle w:val="18"/>
        <w:numPr>
          <w:ilvl w:val="1"/>
          <w:numId w:val="1"/>
        </w:numPr>
        <w:tabs>
          <w:tab w:val="left" w:pos="1787"/>
        </w:tabs>
        <w:spacing w:before="35" w:after="0" w:line="240" w:lineRule="auto"/>
        <w:ind w:left="1786" w:right="0" w:hanging="481"/>
        <w:jc w:val="left"/>
        <w:rPr>
          <w:b/>
          <w:sz w:val="24"/>
        </w:rPr>
      </w:pPr>
      <w:r>
        <w:rPr>
          <w:spacing w:val="-4"/>
          <w:sz w:val="24"/>
        </w:rPr>
        <w:t>招标范围：</w:t>
      </w:r>
      <w:r>
        <w:rPr>
          <w:rFonts w:hint="eastAsia"/>
          <w:spacing w:val="-1"/>
          <w:sz w:val="24"/>
          <w:u w:val="single"/>
          <w:lang w:eastAsia="zh-CN"/>
        </w:rPr>
        <w:t>温岭市新河镇XH010201地块</w:t>
      </w:r>
      <w:r>
        <w:rPr>
          <w:sz w:val="24"/>
          <w:u w:val="single"/>
        </w:rPr>
        <w:t>施工全过程及保修阶段的监理</w:t>
      </w:r>
      <w:r>
        <w:rPr>
          <w:sz w:val="24"/>
        </w:rPr>
        <w:t>。</w:t>
      </w:r>
    </w:p>
    <w:p>
      <w:pPr>
        <w:pStyle w:val="18"/>
        <w:numPr>
          <w:ilvl w:val="0"/>
          <w:numId w:val="0"/>
        </w:numPr>
        <w:tabs>
          <w:tab w:val="left" w:pos="1787"/>
        </w:tabs>
        <w:spacing w:before="35" w:after="0" w:line="240" w:lineRule="auto"/>
        <w:ind w:right="0" w:rightChars="0" w:firstLine="723" w:firstLineChars="300"/>
        <w:jc w:val="left"/>
        <w:rPr>
          <w:b/>
          <w:sz w:val="24"/>
        </w:rPr>
      </w:pPr>
      <w:r>
        <w:rPr>
          <w:b/>
          <w:sz w:val="24"/>
        </w:rPr>
        <w:t>3、投标人资格要求</w:t>
      </w:r>
    </w:p>
    <w:p>
      <w:pPr>
        <w:pStyle w:val="18"/>
        <w:numPr>
          <w:ilvl w:val="0"/>
          <w:numId w:val="0"/>
        </w:numPr>
        <w:tabs>
          <w:tab w:val="left" w:pos="1787"/>
        </w:tabs>
        <w:spacing w:before="34" w:after="0" w:line="364" w:lineRule="auto"/>
        <w:ind w:left="1306" w:leftChars="0" w:right="1321" w:rightChars="0"/>
        <w:jc w:val="left"/>
        <w:rPr>
          <w:spacing w:val="-220"/>
          <w:sz w:val="24"/>
          <w:u w:val="single"/>
        </w:rPr>
      </w:pPr>
      <w:r>
        <w:rPr>
          <w:rFonts w:hint="eastAsia"/>
          <w:spacing w:val="-1"/>
          <w:sz w:val="24"/>
          <w:lang w:val="en-US" w:eastAsia="zh-CN"/>
        </w:rPr>
        <w:t>3.1</w:t>
      </w:r>
      <w:r>
        <w:rPr>
          <w:spacing w:val="-1"/>
          <w:sz w:val="24"/>
        </w:rPr>
        <w:t>本次招标要求投标人须具备</w:t>
      </w:r>
      <w:r>
        <w:rPr>
          <w:spacing w:val="-1"/>
          <w:sz w:val="24"/>
          <w:u w:val="single"/>
        </w:rPr>
        <w:t>监理综合资质或</w:t>
      </w:r>
      <w:r>
        <w:rPr>
          <w:rFonts w:hint="eastAsia"/>
          <w:spacing w:val="-1"/>
          <w:sz w:val="24"/>
          <w:u w:val="single"/>
          <w:lang w:eastAsia="zh-CN"/>
        </w:rPr>
        <w:t>房屋建筑</w:t>
      </w:r>
      <w:r>
        <w:rPr>
          <w:spacing w:val="-1"/>
          <w:sz w:val="24"/>
          <w:u w:val="single"/>
        </w:rPr>
        <w:t>工程专业监理</w:t>
      </w:r>
      <w:r>
        <w:rPr>
          <w:rFonts w:hint="eastAsia"/>
          <w:spacing w:val="-1"/>
          <w:sz w:val="24"/>
          <w:u w:val="single"/>
          <w:lang w:eastAsia="zh-CN"/>
        </w:rPr>
        <w:t>甲</w:t>
      </w:r>
      <w:r>
        <w:rPr>
          <w:spacing w:val="-1"/>
          <w:sz w:val="24"/>
          <w:u w:val="single"/>
        </w:rPr>
        <w:t>级及</w:t>
      </w:r>
      <w:r>
        <w:rPr>
          <w:spacing w:val="-220"/>
          <w:sz w:val="24"/>
          <w:u w:val="single"/>
        </w:rPr>
        <w:t>以</w:t>
      </w:r>
    </w:p>
    <w:p>
      <w:pPr>
        <w:pStyle w:val="18"/>
        <w:numPr>
          <w:ilvl w:val="0"/>
          <w:numId w:val="0"/>
        </w:numPr>
        <w:tabs>
          <w:tab w:val="left" w:pos="1787"/>
        </w:tabs>
        <w:spacing w:before="34" w:after="0" w:line="364" w:lineRule="auto"/>
        <w:ind w:right="1321" w:rightChars="0" w:firstLine="720" w:firstLineChars="300"/>
        <w:jc w:val="left"/>
        <w:rPr>
          <w:rFonts w:hint="eastAsia"/>
          <w:sz w:val="24"/>
          <w:u w:val="single"/>
          <w:lang w:eastAsia="zh-CN"/>
        </w:rPr>
      </w:pPr>
      <w:r>
        <w:rPr>
          <w:sz w:val="24"/>
          <w:u w:val="single"/>
        </w:rPr>
        <w:t>上</w:t>
      </w:r>
      <w:r>
        <w:rPr>
          <w:rFonts w:hint="eastAsia"/>
          <w:sz w:val="24"/>
          <w:u w:val="single"/>
          <w:lang w:eastAsia="zh-CN"/>
        </w:rPr>
        <w:t>资质</w:t>
      </w:r>
      <w:r>
        <w:rPr>
          <w:rFonts w:hint="eastAsia"/>
          <w:sz w:val="24"/>
          <w:u w:val="single"/>
          <w:lang w:val="en-US" w:eastAsia="zh-CN"/>
        </w:rPr>
        <w:t xml:space="preserve">并在人员、设备、资金等方面具有相应的监理能力； </w:t>
      </w:r>
    </w:p>
    <w:p>
      <w:pPr>
        <w:pStyle w:val="18"/>
        <w:numPr>
          <w:ilvl w:val="0"/>
          <w:numId w:val="0"/>
        </w:numPr>
        <w:tabs>
          <w:tab w:val="left" w:pos="1787"/>
        </w:tabs>
        <w:spacing w:before="1" w:after="0" w:line="364" w:lineRule="auto"/>
        <w:ind w:left="1306" w:leftChars="0" w:right="1317" w:rightChars="0"/>
        <w:jc w:val="left"/>
        <w:rPr>
          <w:spacing w:val="-220"/>
          <w:sz w:val="24"/>
          <w:u w:val="single"/>
        </w:rPr>
      </w:pPr>
      <w:r>
        <w:rPr>
          <w:rFonts w:hint="eastAsia"/>
          <w:sz w:val="24"/>
          <w:lang w:val="en-US" w:eastAsia="zh-CN"/>
        </w:rPr>
        <w:t>3.2</w:t>
      </w:r>
      <w:r>
        <w:rPr>
          <w:sz w:val="24"/>
        </w:rPr>
        <w:t>本次招标要求项目总监理工程师须具有</w:t>
      </w:r>
      <w:r>
        <w:rPr>
          <w:rFonts w:hint="eastAsia"/>
          <w:spacing w:val="-2"/>
          <w:sz w:val="24"/>
          <w:u w:val="single"/>
          <w:lang w:eastAsia="zh-CN"/>
        </w:rPr>
        <w:t>房屋建筑</w:t>
      </w:r>
      <w:r>
        <w:rPr>
          <w:spacing w:val="-2"/>
          <w:sz w:val="24"/>
          <w:u w:val="single"/>
        </w:rPr>
        <w:t>工程专业国家注册监理工</w:t>
      </w:r>
      <w:r>
        <w:rPr>
          <w:spacing w:val="-220"/>
          <w:sz w:val="24"/>
          <w:u w:val="single"/>
        </w:rPr>
        <w:t>程</w:t>
      </w:r>
    </w:p>
    <w:p>
      <w:pPr>
        <w:pStyle w:val="18"/>
        <w:numPr>
          <w:ilvl w:val="0"/>
          <w:numId w:val="0"/>
        </w:numPr>
        <w:tabs>
          <w:tab w:val="left" w:pos="1787"/>
        </w:tabs>
        <w:spacing w:before="1" w:after="0" w:line="364" w:lineRule="auto"/>
        <w:ind w:right="1317" w:rightChars="0" w:firstLine="720" w:firstLineChars="300"/>
        <w:jc w:val="left"/>
        <w:rPr>
          <w:sz w:val="24"/>
        </w:rPr>
      </w:pPr>
      <w:r>
        <w:rPr>
          <w:sz w:val="24"/>
          <w:u w:val="single"/>
        </w:rPr>
        <w:t>师资格。</w:t>
      </w:r>
    </w:p>
    <w:p>
      <w:pPr>
        <w:pStyle w:val="11"/>
        <w:spacing w:before="53"/>
        <w:ind w:left="826" w:firstLine="480" w:firstLineChars="200"/>
        <w:rPr>
          <w:rFonts w:hint="eastAsia"/>
          <w:spacing w:val="-6"/>
          <w:sz w:val="24"/>
          <w:u w:val="single"/>
          <w:lang w:eastAsia="zh-CN"/>
        </w:rPr>
      </w:pPr>
      <w:r>
        <w:rPr>
          <w:rFonts w:hint="eastAsia"/>
          <w:sz w:val="24"/>
          <w:lang w:val="en-US" w:eastAsia="zh-CN"/>
        </w:rPr>
        <w:t>3.3</w:t>
      </w:r>
      <w:r>
        <w:rPr>
          <w:sz w:val="24"/>
        </w:rPr>
        <w:t>专业监理人员要求：</w:t>
      </w:r>
      <w:r>
        <w:rPr>
          <w:rFonts w:hint="eastAsia" w:ascii="宋体" w:hAnsi="宋体" w:eastAsia="宋体" w:cs="宋体"/>
          <w:b w:val="0"/>
          <w:color w:val="333333"/>
          <w:sz w:val="22"/>
          <w:szCs w:val="22"/>
          <w:u w:val="single"/>
        </w:rPr>
        <w:t>主导专业监理工程师（总监不得兼任）至少1 人（</w:t>
      </w:r>
      <w:r>
        <w:rPr>
          <w:rFonts w:hint="eastAsia"/>
          <w:spacing w:val="-6"/>
          <w:sz w:val="24"/>
          <w:u w:val="single"/>
          <w:lang w:eastAsia="zh-CN"/>
        </w:rPr>
        <w:t>房屋建筑</w:t>
      </w:r>
    </w:p>
    <w:p>
      <w:pPr>
        <w:pStyle w:val="11"/>
        <w:spacing w:before="53"/>
        <w:ind w:firstLine="660" w:firstLineChars="300"/>
        <w:rPr>
          <w:rFonts w:hint="eastAsia"/>
          <w:spacing w:val="-6"/>
          <w:sz w:val="24"/>
          <w:u w:val="single"/>
          <w:lang w:eastAsia="zh-CN"/>
        </w:rPr>
      </w:pPr>
      <w:r>
        <w:rPr>
          <w:rFonts w:hint="eastAsia" w:ascii="宋体" w:hAnsi="宋体" w:eastAsia="宋体" w:cs="宋体"/>
          <w:b w:val="0"/>
          <w:color w:val="333333"/>
          <w:sz w:val="22"/>
          <w:szCs w:val="22"/>
          <w:u w:val="single"/>
        </w:rPr>
        <w:t>专业），要求为已取得监理工程师证书及以上资格；主导专业监理员基本要求至少 1 人（</w:t>
      </w:r>
      <w:r>
        <w:rPr>
          <w:rFonts w:hint="eastAsia"/>
          <w:spacing w:val="-6"/>
          <w:sz w:val="24"/>
          <w:u w:val="single"/>
          <w:lang w:eastAsia="zh-CN"/>
        </w:rPr>
        <w:t>房</w:t>
      </w:r>
    </w:p>
    <w:p>
      <w:pPr>
        <w:pStyle w:val="11"/>
        <w:spacing w:before="53"/>
        <w:ind w:firstLine="684" w:firstLineChars="300"/>
        <w:rPr>
          <w:rFonts w:hint="eastAsia" w:ascii="宋体" w:hAnsi="宋体" w:eastAsia="宋体" w:cs="宋体"/>
          <w:b w:val="0"/>
          <w:color w:val="000000" w:themeColor="text1"/>
          <w:sz w:val="24"/>
          <w:szCs w:val="24"/>
          <w:u w:val="single"/>
          <w:lang w:eastAsia="zh-CN"/>
          <w14:textFill>
            <w14:solidFill>
              <w14:schemeClr w14:val="tx1"/>
            </w14:solidFill>
          </w14:textFill>
        </w:rPr>
      </w:pPr>
      <w:r>
        <w:rPr>
          <w:rFonts w:hint="eastAsia"/>
          <w:spacing w:val="-6"/>
          <w:sz w:val="24"/>
          <w:u w:val="single"/>
          <w:lang w:eastAsia="zh-CN"/>
        </w:rPr>
        <w:t>屋建筑</w:t>
      </w:r>
      <w:r>
        <w:rPr>
          <w:rFonts w:hint="eastAsia" w:ascii="宋体" w:hAnsi="宋体" w:eastAsia="宋体" w:cs="宋体"/>
          <w:b w:val="0"/>
          <w:color w:val="333333"/>
          <w:sz w:val="22"/>
          <w:szCs w:val="22"/>
          <w:u w:val="single"/>
        </w:rPr>
        <w:t>专业），持有监理员岗位证书及以上资格</w:t>
      </w:r>
      <w:r>
        <w:rPr>
          <w:rFonts w:hint="eastAsia" w:cs="宋体"/>
          <w:b w:val="0"/>
          <w:color w:val="333333"/>
          <w:sz w:val="22"/>
          <w:szCs w:val="22"/>
          <w:u w:val="single"/>
          <w:lang w:eastAsia="zh-CN"/>
        </w:rPr>
        <w:t>；</w:t>
      </w:r>
      <w:r>
        <w:rPr>
          <w:rFonts w:hint="eastAsia" w:ascii="宋体" w:hAnsi="宋体" w:eastAsia="宋体" w:cs="宋体"/>
          <w:b w:val="0"/>
          <w:color w:val="000000" w:themeColor="text1"/>
          <w:sz w:val="24"/>
          <w:szCs w:val="24"/>
          <w:u w:val="single"/>
          <w:lang w:eastAsia="zh-CN"/>
          <w14:textFill>
            <w14:solidFill>
              <w14:schemeClr w14:val="tx1"/>
            </w14:solidFill>
          </w14:textFill>
        </w:rPr>
        <w:t>配套专业监理员基本要求至少1 人（安</w:t>
      </w:r>
    </w:p>
    <w:p>
      <w:pPr>
        <w:pStyle w:val="11"/>
        <w:spacing w:before="53"/>
        <w:ind w:firstLine="720" w:firstLineChars="300"/>
        <w:rPr>
          <w:rFonts w:hint="eastAsia" w:eastAsia="宋体"/>
          <w:color w:val="000000" w:themeColor="text1"/>
          <w:u w:val="single"/>
          <w:lang w:eastAsia="zh-CN"/>
          <w14:textFill>
            <w14:solidFill>
              <w14:schemeClr w14:val="tx1"/>
            </w14:solidFill>
          </w14:textFill>
        </w:rPr>
      </w:pPr>
      <w:r>
        <w:rPr>
          <w:rFonts w:hint="eastAsia" w:ascii="宋体" w:hAnsi="宋体" w:eastAsia="宋体" w:cs="宋体"/>
          <w:b w:val="0"/>
          <w:color w:val="000000" w:themeColor="text1"/>
          <w:sz w:val="24"/>
          <w:szCs w:val="24"/>
          <w:u w:val="single"/>
          <w:lang w:eastAsia="zh-CN"/>
          <w14:textFill>
            <w14:solidFill>
              <w14:schemeClr w14:val="tx1"/>
            </w14:solidFill>
          </w14:textFill>
        </w:rPr>
        <w:t>装专业） ，持有监理员岗位证书及以上资格</w:t>
      </w:r>
      <w:r>
        <w:rPr>
          <w:rFonts w:hint="eastAsia" w:cs="宋体"/>
          <w:b w:val="0"/>
          <w:color w:val="000000" w:themeColor="text1"/>
          <w:sz w:val="24"/>
          <w:szCs w:val="24"/>
          <w:u w:val="single"/>
          <w:lang w:eastAsia="zh-CN"/>
          <w14:textFill>
            <w14:solidFill>
              <w14:schemeClr w14:val="tx1"/>
            </w14:solidFill>
          </w14:textFill>
        </w:rPr>
        <w:t>。</w:t>
      </w:r>
    </w:p>
    <w:p>
      <w:pPr>
        <w:pStyle w:val="11"/>
        <w:spacing w:before="53"/>
        <w:ind w:left="826" w:firstLine="480" w:firstLineChars="200"/>
        <w:rPr>
          <w:rFonts w:hint="eastAsia"/>
          <w:b/>
          <w:bCs/>
          <w:u w:val="single"/>
          <w:lang w:val="en-US" w:eastAsia="zh-CN"/>
        </w:rPr>
      </w:pPr>
      <w:r>
        <w:rPr>
          <w:rFonts w:hint="eastAsia"/>
          <w:u w:val="single"/>
          <w:lang w:val="en-US" w:eastAsia="zh-CN"/>
        </w:rPr>
        <w:t>3.4、</w:t>
      </w:r>
      <w:r>
        <w:rPr>
          <w:rFonts w:hint="eastAsia"/>
          <w:b/>
          <w:bCs/>
          <w:u w:val="single"/>
          <w:lang w:val="en-US" w:eastAsia="zh-CN"/>
        </w:rPr>
        <w:t>本工程需办理质监手续，监理人员需符合相关备案要求，请各投标单位自</w:t>
      </w:r>
    </w:p>
    <w:p>
      <w:pPr>
        <w:pStyle w:val="11"/>
        <w:spacing w:before="53"/>
        <w:ind w:firstLine="723" w:firstLineChars="300"/>
        <w:rPr>
          <w:rFonts w:hint="eastAsia"/>
          <w:b/>
          <w:bCs/>
          <w:u w:val="single"/>
          <w:lang w:val="en-US" w:eastAsia="zh-CN"/>
        </w:rPr>
      </w:pPr>
      <w:r>
        <w:rPr>
          <w:rFonts w:hint="eastAsia"/>
          <w:b/>
          <w:bCs/>
          <w:u w:val="single"/>
          <w:lang w:val="en-US" w:eastAsia="zh-CN"/>
        </w:rPr>
        <w:t>查监理人员是否符合要求，如中标后因监理人员原因未能办理质监手续，没收履约保</w:t>
      </w:r>
    </w:p>
    <w:p>
      <w:pPr>
        <w:pStyle w:val="11"/>
        <w:spacing w:before="53"/>
        <w:ind w:firstLine="723" w:firstLineChars="300"/>
      </w:pPr>
      <w:r>
        <w:rPr>
          <w:rFonts w:hint="eastAsia"/>
          <w:b/>
          <w:bCs/>
          <w:u w:val="single"/>
          <w:lang w:val="en-US" w:eastAsia="zh-CN"/>
        </w:rPr>
        <w:t>证金及赔偿相关损失。</w:t>
      </w:r>
    </w:p>
    <w:p>
      <w:pPr>
        <w:pStyle w:val="18"/>
        <w:numPr>
          <w:ilvl w:val="0"/>
          <w:numId w:val="0"/>
        </w:numPr>
        <w:tabs>
          <w:tab w:val="left" w:pos="1727"/>
        </w:tabs>
        <w:spacing w:before="52" w:after="0" w:line="280" w:lineRule="auto"/>
        <w:ind w:left="1306" w:leftChars="0" w:right="5937" w:rightChars="0"/>
        <w:jc w:val="left"/>
        <w:rPr>
          <w:spacing w:val="-2"/>
          <w:sz w:val="24"/>
        </w:rPr>
      </w:pPr>
      <w:r>
        <w:rPr>
          <w:rFonts w:hint="eastAsia"/>
          <w:spacing w:val="-2"/>
          <w:sz w:val="24"/>
          <w:lang w:val="en-US" w:eastAsia="zh-CN"/>
        </w:rPr>
        <w:t>3.5</w:t>
      </w:r>
      <w:r>
        <w:rPr>
          <w:spacing w:val="-2"/>
          <w:sz w:val="24"/>
        </w:rPr>
        <w:t>本次招标不接受联合体投标。</w:t>
      </w:r>
    </w:p>
    <w:p>
      <w:pPr>
        <w:pStyle w:val="18"/>
        <w:numPr>
          <w:ilvl w:val="0"/>
          <w:numId w:val="0"/>
        </w:numPr>
        <w:tabs>
          <w:tab w:val="left" w:pos="1727"/>
        </w:tabs>
        <w:spacing w:before="52" w:after="0" w:line="280" w:lineRule="auto"/>
        <w:ind w:right="5937" w:rightChars="0" w:firstLine="723" w:firstLineChars="300"/>
        <w:jc w:val="left"/>
        <w:rPr>
          <w:b/>
          <w:sz w:val="24"/>
        </w:rPr>
      </w:pPr>
      <w:r>
        <w:rPr>
          <w:b/>
          <w:sz w:val="24"/>
        </w:rPr>
        <w:t>4、 招标文件的获取</w:t>
      </w:r>
    </w:p>
    <w:p>
      <w:pPr>
        <w:pStyle w:val="11"/>
        <w:spacing w:before="34" w:line="364" w:lineRule="auto"/>
        <w:ind w:left="826" w:right="1111" w:firstLine="480"/>
        <w:jc w:val="both"/>
      </w:pPr>
      <w:r>
        <w:t>4.1</w:t>
      </w:r>
      <w:r>
        <w:rPr>
          <w:spacing w:val="-12"/>
        </w:rPr>
        <w:t xml:space="preserve"> 凡有意参加投标者，请于 </w:t>
      </w:r>
      <w:r>
        <w:rPr>
          <w:u w:val="single"/>
        </w:rPr>
        <w:t>2020</w:t>
      </w:r>
      <w:r>
        <w:rPr>
          <w:spacing w:val="-40"/>
          <w:u w:val="single"/>
        </w:rPr>
        <w:t xml:space="preserve"> 年 </w:t>
      </w:r>
      <w:r>
        <w:rPr>
          <w:rFonts w:hint="eastAsia"/>
          <w:spacing w:val="-40"/>
          <w:u w:val="single"/>
          <w:lang w:val="en-US" w:eastAsia="zh-CN"/>
        </w:rPr>
        <w:t xml:space="preserve"> </w:t>
      </w:r>
      <w:r>
        <w:rPr>
          <w:rFonts w:hint="eastAsia"/>
          <w:u w:val="single"/>
          <w:lang w:val="en-US" w:eastAsia="zh-CN"/>
        </w:rPr>
        <w:t>8</w:t>
      </w:r>
      <w:r>
        <w:rPr>
          <w:spacing w:val="-40"/>
          <w:u w:val="single"/>
        </w:rPr>
        <w:t xml:space="preserve"> 月</w:t>
      </w:r>
      <w:r>
        <w:rPr>
          <w:rFonts w:hint="eastAsia"/>
          <w:spacing w:val="-40"/>
          <w:u w:val="single"/>
          <w:lang w:val="en-US" w:eastAsia="zh-CN"/>
        </w:rPr>
        <w:t xml:space="preserve"> 4 </w:t>
      </w:r>
      <w:r>
        <w:rPr>
          <w:spacing w:val="-24"/>
          <w:u w:val="single"/>
        </w:rPr>
        <w:t xml:space="preserve">日上午 </w:t>
      </w:r>
      <w:r>
        <w:rPr>
          <w:u w:val="single"/>
        </w:rPr>
        <w:t>8</w:t>
      </w:r>
      <w:r>
        <w:rPr>
          <w:spacing w:val="-30"/>
          <w:u w:val="single"/>
        </w:rPr>
        <w:t xml:space="preserve"> 时</w:t>
      </w:r>
      <w:r>
        <w:t>前登入温岭市公共资源</w:t>
      </w:r>
      <w:r>
        <w:rPr>
          <w:spacing w:val="-4"/>
        </w:rPr>
        <w:t>交易中心网站</w:t>
      </w:r>
      <w:r>
        <w:t>（</w:t>
      </w:r>
      <w:r>
        <w:fldChar w:fldCharType="begin"/>
      </w:r>
      <w:r>
        <w:instrText xml:space="preserve"> HYPERLINK "http://www.wl.gov.cn/col/col1402172/index.html%EF%BC%89%E4%B8%8B%E8%BD%BD%E7%94%B5%E5%AD%90%E6%8B%9B%E6%A0%87%E6%96%87%E4%BB%B6%E3%80%82" \h </w:instrText>
      </w:r>
      <w:r>
        <w:fldChar w:fldCharType="separate"/>
      </w:r>
      <w:r>
        <w:rPr>
          <w:u w:val="single"/>
        </w:rPr>
        <w:t>http://www.wl.gov.cn/col/col1402172/index.html）</w:t>
      </w:r>
      <w:r>
        <w:rPr>
          <w:u w:val="single"/>
        </w:rPr>
        <w:fldChar w:fldCharType="end"/>
      </w:r>
      <w:r>
        <w:rPr>
          <w:spacing w:val="-3"/>
        </w:rPr>
        <w:t>进行网上报名并下载招标文件。</w:t>
      </w:r>
      <w:r>
        <w:rPr>
          <w:b/>
          <w:spacing w:val="-2"/>
        </w:rPr>
        <w:t>网上未报名的投标人，其投标文件招标人将不予受理</w:t>
      </w:r>
      <w:r>
        <w:rPr>
          <w:spacing w:val="-6"/>
        </w:rPr>
        <w:t>。报名方法请</w:t>
      </w:r>
      <w:r>
        <w:t>看附件温岭市镇（街道）网上投标系统操作手册（更新版）。</w:t>
      </w:r>
    </w:p>
    <w:p>
      <w:pPr>
        <w:pStyle w:val="10"/>
        <w:spacing w:before="135"/>
      </w:pPr>
      <w:r>
        <w:t>5、投标文件的递交</w:t>
      </w:r>
    </w:p>
    <w:p>
      <w:pPr>
        <w:pStyle w:val="11"/>
        <w:spacing w:before="66"/>
        <w:ind w:left="826"/>
        <w:rPr>
          <w:spacing w:val="-9"/>
          <w:sz w:val="24"/>
        </w:rPr>
      </w:pPr>
      <w:r>
        <w:rPr>
          <w:spacing w:val="-5"/>
          <w:sz w:val="24"/>
        </w:rPr>
        <w:t xml:space="preserve">投标保证金的到账截止时间为 </w:t>
      </w:r>
      <w:r>
        <w:rPr>
          <w:sz w:val="24"/>
          <w:u w:val="single"/>
        </w:rPr>
        <w:t>2020</w:t>
      </w:r>
      <w:r>
        <w:rPr>
          <w:spacing w:val="-40"/>
          <w:sz w:val="24"/>
          <w:u w:val="single"/>
        </w:rPr>
        <w:t xml:space="preserve"> 年</w:t>
      </w:r>
      <w:r>
        <w:rPr>
          <w:rFonts w:hint="eastAsia"/>
          <w:spacing w:val="-40"/>
          <w:sz w:val="24"/>
          <w:u w:val="single"/>
          <w:lang w:val="en-US" w:eastAsia="zh-CN"/>
        </w:rPr>
        <w:t xml:space="preserve"> 8 </w:t>
      </w:r>
      <w:r>
        <w:rPr>
          <w:spacing w:val="-40"/>
          <w:sz w:val="24"/>
          <w:u w:val="single"/>
        </w:rPr>
        <w:t xml:space="preserve">月 </w:t>
      </w:r>
      <w:r>
        <w:rPr>
          <w:rFonts w:hint="eastAsia"/>
          <w:sz w:val="24"/>
          <w:u w:val="single"/>
          <w:lang w:val="en-US" w:eastAsia="zh-CN"/>
        </w:rPr>
        <w:t>3</w:t>
      </w:r>
      <w:r>
        <w:rPr>
          <w:spacing w:val="-40"/>
          <w:sz w:val="24"/>
          <w:u w:val="single"/>
        </w:rPr>
        <w:t xml:space="preserve">日 </w:t>
      </w:r>
      <w:r>
        <w:rPr>
          <w:sz w:val="24"/>
          <w:u w:val="single"/>
        </w:rPr>
        <w:t>12</w:t>
      </w:r>
      <w:r>
        <w:rPr>
          <w:spacing w:val="-40"/>
          <w:sz w:val="24"/>
          <w:u w:val="single"/>
        </w:rPr>
        <w:t xml:space="preserve"> 时 </w:t>
      </w:r>
      <w:r>
        <w:rPr>
          <w:sz w:val="24"/>
          <w:u w:val="single"/>
        </w:rPr>
        <w:t>00</w:t>
      </w:r>
      <w:r>
        <w:rPr>
          <w:spacing w:val="-30"/>
          <w:sz w:val="24"/>
          <w:u w:val="single"/>
        </w:rPr>
        <w:t xml:space="preserve"> 分</w:t>
      </w:r>
      <w:r>
        <w:rPr>
          <w:spacing w:val="-3"/>
          <w:sz w:val="24"/>
        </w:rPr>
        <w:t>，投标文件递交</w:t>
      </w:r>
      <w:r>
        <w:rPr>
          <w:spacing w:val="-9"/>
          <w:sz w:val="24"/>
        </w:rPr>
        <w:t xml:space="preserve">的截止时间为 </w:t>
      </w:r>
    </w:p>
    <w:p>
      <w:pPr>
        <w:pStyle w:val="11"/>
        <w:spacing w:before="66"/>
        <w:ind w:left="826"/>
      </w:pPr>
      <w:r>
        <w:rPr>
          <w:sz w:val="24"/>
          <w:u w:val="single"/>
        </w:rPr>
        <w:t>2020</w:t>
      </w:r>
      <w:r>
        <w:rPr>
          <w:spacing w:val="-40"/>
          <w:sz w:val="24"/>
          <w:u w:val="single"/>
        </w:rPr>
        <w:t xml:space="preserve"> 年 </w:t>
      </w:r>
      <w:r>
        <w:rPr>
          <w:rFonts w:hint="eastAsia"/>
          <w:spacing w:val="-40"/>
          <w:sz w:val="24"/>
          <w:u w:val="single"/>
          <w:lang w:val="en-US" w:eastAsia="zh-CN"/>
        </w:rPr>
        <w:t xml:space="preserve">8 </w:t>
      </w:r>
      <w:r>
        <w:rPr>
          <w:spacing w:val="-40"/>
          <w:sz w:val="24"/>
          <w:u w:val="single"/>
        </w:rPr>
        <w:t xml:space="preserve">月 </w:t>
      </w:r>
      <w:r>
        <w:rPr>
          <w:rFonts w:hint="eastAsia"/>
          <w:spacing w:val="-40"/>
          <w:sz w:val="24"/>
          <w:u w:val="single"/>
          <w:lang w:val="en-US" w:eastAsia="zh-CN"/>
        </w:rPr>
        <w:t xml:space="preserve">4 </w:t>
      </w:r>
      <w:r>
        <w:rPr>
          <w:spacing w:val="-24"/>
          <w:sz w:val="24"/>
          <w:u w:val="single"/>
        </w:rPr>
        <w:t>日</w:t>
      </w:r>
      <w:r>
        <w:rPr>
          <w:rFonts w:hint="eastAsia"/>
          <w:spacing w:val="-24"/>
          <w:sz w:val="24"/>
          <w:u w:val="single"/>
          <w:lang w:eastAsia="zh-CN"/>
        </w:rPr>
        <w:t>上</w:t>
      </w:r>
      <w:r>
        <w:rPr>
          <w:spacing w:val="-24"/>
          <w:sz w:val="24"/>
          <w:u w:val="single"/>
        </w:rPr>
        <w:t>午</w:t>
      </w:r>
      <w:r>
        <w:rPr>
          <w:rFonts w:hint="eastAsia"/>
          <w:spacing w:val="-24"/>
          <w:sz w:val="24"/>
          <w:u w:val="single"/>
          <w:lang w:val="en-US" w:eastAsia="zh-CN"/>
        </w:rPr>
        <w:t>9</w:t>
      </w:r>
      <w:r>
        <w:rPr>
          <w:spacing w:val="-40"/>
          <w:sz w:val="24"/>
          <w:u w:val="single"/>
        </w:rPr>
        <w:t xml:space="preserve"> 时 </w:t>
      </w:r>
      <w:r>
        <w:rPr>
          <w:spacing w:val="-20"/>
          <w:sz w:val="24"/>
          <w:u w:val="single"/>
        </w:rPr>
        <w:t>整</w:t>
      </w:r>
      <w:r>
        <w:rPr>
          <w:sz w:val="24"/>
        </w:rPr>
        <w:t>，地点为</w:t>
      </w:r>
      <w:r>
        <w:rPr>
          <w:sz w:val="24"/>
          <w:u w:val="single"/>
        </w:rPr>
        <w:t xml:space="preserve"> </w:t>
      </w:r>
      <w:r>
        <w:rPr>
          <w:rFonts w:hint="eastAsia"/>
          <w:sz w:val="24"/>
          <w:u w:val="single"/>
          <w:lang w:val="en-US" w:eastAsia="zh-CN"/>
        </w:rPr>
        <w:t>温岭市新河镇人民政府三楼南会议室</w:t>
      </w:r>
      <w:r>
        <w:rPr>
          <w:u w:val="single"/>
        </w:rPr>
        <w:t xml:space="preserve"> </w:t>
      </w:r>
      <w:r>
        <w:t>。</w:t>
      </w:r>
    </w:p>
    <w:p>
      <w:pPr>
        <w:pStyle w:val="18"/>
        <w:numPr>
          <w:ilvl w:val="1"/>
          <w:numId w:val="2"/>
        </w:numPr>
        <w:tabs>
          <w:tab w:val="left" w:pos="1727"/>
        </w:tabs>
        <w:spacing w:before="53" w:after="0" w:line="280" w:lineRule="auto"/>
        <w:ind w:left="826" w:right="1137" w:firstLine="480"/>
        <w:jc w:val="left"/>
        <w:rPr>
          <w:sz w:val="24"/>
        </w:rPr>
      </w:pPr>
      <w:r>
        <w:rPr>
          <w:spacing w:val="-1"/>
          <w:sz w:val="24"/>
        </w:rPr>
        <w:t>逾期送达的、未送达指定地点的或者不按照招标文件要求密封、标记的投标</w:t>
      </w:r>
      <w:r>
        <w:rPr>
          <w:sz w:val="24"/>
        </w:rPr>
        <w:t>文件，招标人将予以拒收。</w:t>
      </w:r>
    </w:p>
    <w:p>
      <w:pPr>
        <w:pStyle w:val="18"/>
        <w:numPr>
          <w:ilvl w:val="1"/>
          <w:numId w:val="2"/>
        </w:numPr>
        <w:tabs>
          <w:tab w:val="left" w:pos="1729"/>
        </w:tabs>
        <w:spacing w:before="0" w:after="0" w:line="262" w:lineRule="exact"/>
        <w:ind w:left="1728" w:right="0" w:hanging="421"/>
        <w:jc w:val="left"/>
        <w:rPr>
          <w:b/>
          <w:color w:val="333333"/>
          <w:sz w:val="24"/>
        </w:rPr>
      </w:pPr>
      <w:r>
        <w:rPr>
          <w:color w:val="333333"/>
          <w:sz w:val="24"/>
        </w:rPr>
        <w:t>网上报名资料须跟纸质资料一致，</w:t>
      </w:r>
      <w:r>
        <w:rPr>
          <w:b/>
          <w:color w:val="333333"/>
          <w:sz w:val="24"/>
        </w:rPr>
        <w:t>否则作无效标处理。</w:t>
      </w:r>
    </w:p>
    <w:p>
      <w:pPr>
        <w:pStyle w:val="18"/>
        <w:numPr>
          <w:ilvl w:val="1"/>
          <w:numId w:val="2"/>
        </w:numPr>
        <w:tabs>
          <w:tab w:val="left" w:pos="1789"/>
        </w:tabs>
        <w:spacing w:before="4" w:after="0" w:line="261" w:lineRule="auto"/>
        <w:ind w:left="826" w:right="991" w:firstLine="482"/>
        <w:jc w:val="left"/>
        <w:rPr>
          <w:b/>
          <w:color w:val="333333"/>
          <w:sz w:val="24"/>
        </w:rPr>
      </w:pPr>
      <w:r>
        <w:rPr>
          <w:color w:val="333333"/>
          <w:spacing w:val="-2"/>
          <w:sz w:val="24"/>
        </w:rPr>
        <w:t>为了方便投标人能尽快退回本工程的投标保证金，请各投标人在递交投标文</w:t>
      </w:r>
      <w:r>
        <w:rPr>
          <w:color w:val="333333"/>
          <w:spacing w:val="-7"/>
          <w:sz w:val="24"/>
        </w:rPr>
        <w:t>件的同时提供招标文件中的 “投标保证金退款账户信息</w:t>
      </w:r>
      <w:r>
        <w:rPr>
          <w:color w:val="333333"/>
          <w:sz w:val="24"/>
        </w:rPr>
        <w:t>（投标人账户</w:t>
      </w:r>
      <w:r>
        <w:rPr>
          <w:color w:val="333333"/>
          <w:spacing w:val="-30"/>
          <w:sz w:val="24"/>
        </w:rPr>
        <w:t>）（</w:t>
      </w:r>
      <w:r>
        <w:rPr>
          <w:color w:val="333333"/>
          <w:sz w:val="24"/>
        </w:rPr>
        <w:t>附件四</w:t>
      </w:r>
      <w:r>
        <w:rPr>
          <w:color w:val="333333"/>
          <w:spacing w:val="-76"/>
          <w:sz w:val="24"/>
        </w:rPr>
        <w:t>）</w:t>
      </w:r>
      <w:r>
        <w:rPr>
          <w:color w:val="333333"/>
          <w:spacing w:val="-46"/>
          <w:sz w:val="24"/>
        </w:rPr>
        <w:t>”。</w:t>
      </w:r>
      <w:r>
        <w:rPr>
          <w:b/>
          <w:sz w:val="24"/>
        </w:rPr>
        <w:t>6、发布公告的媒介</w:t>
      </w:r>
    </w:p>
    <w:p>
      <w:pPr>
        <w:pStyle w:val="11"/>
        <w:spacing w:before="24"/>
        <w:ind w:left="1306"/>
      </w:pPr>
      <w:r>
        <w:t>本次招标公告同时在温岭市公共资源交易中心网站</w:t>
      </w:r>
      <w:r>
        <w:fldChar w:fldCharType="begin"/>
      </w:r>
      <w:r>
        <w:instrText xml:space="preserve"> HYPERLINK "http://new.wl.gov.cn/col" \h </w:instrText>
      </w:r>
      <w:r>
        <w:fldChar w:fldCharType="separate"/>
      </w:r>
      <w:r>
        <w:t>（http://new.wl.gov.cn/col</w:t>
      </w:r>
      <w:r>
        <w:fldChar w:fldCharType="end"/>
      </w:r>
    </w:p>
    <w:p>
      <w:pPr>
        <w:pStyle w:val="11"/>
        <w:spacing w:before="53" w:line="280" w:lineRule="auto"/>
        <w:ind w:left="826" w:right="1197"/>
      </w:pPr>
      <w:r>
        <w:fldChar w:fldCharType="begin"/>
      </w:r>
      <w:r>
        <w:instrText xml:space="preserve"> HYPERLINK "http://www.zjgyzx.cn/" \h </w:instrText>
      </w:r>
      <w:r>
        <w:fldChar w:fldCharType="separate"/>
      </w:r>
      <w:r>
        <w:t>/col1456441/index.html）、</w:t>
      </w:r>
      <w:r>
        <w:rPr>
          <w:rFonts w:hint="eastAsia"/>
          <w:lang w:eastAsia="zh-CN"/>
        </w:rPr>
        <w:t>浙江新诚信工程造价咨询有限公司</w:t>
      </w:r>
      <w:r>
        <w:t>网站（www.</w:t>
      </w:r>
      <w:r>
        <w:rPr>
          <w:rFonts w:hint="eastAsia"/>
          <w:lang w:val="en-US" w:eastAsia="zh-CN"/>
        </w:rPr>
        <w:t>wlxinchengxin</w:t>
      </w:r>
      <w:r>
        <w:t>.</w:t>
      </w:r>
      <w:r>
        <w:rPr>
          <w:rFonts w:hint="eastAsia"/>
          <w:lang w:val="en-US" w:eastAsia="zh-CN"/>
        </w:rPr>
        <w:t>com</w:t>
      </w:r>
      <w:r>
        <w:fldChar w:fldCharType="end"/>
      </w:r>
      <w:r>
        <w:t>）上发布。</w:t>
      </w:r>
    </w:p>
    <w:p>
      <w:pPr>
        <w:spacing w:before="0"/>
        <w:ind w:left="826" w:right="0" w:firstLine="0"/>
        <w:jc w:val="left"/>
        <w:rPr>
          <w:b/>
          <w:sz w:val="24"/>
        </w:rPr>
      </w:pPr>
      <w:r>
        <w:rPr>
          <w:rFonts w:hint="eastAsia"/>
          <w:b/>
          <w:sz w:val="24"/>
          <w:lang w:val="en-US" w:eastAsia="zh-CN"/>
        </w:rPr>
        <w:t>7</w:t>
      </w:r>
      <w:r>
        <w:rPr>
          <w:b/>
          <w:sz w:val="24"/>
        </w:rPr>
        <w:t>、联系方式</w:t>
      </w:r>
    </w:p>
    <w:p>
      <w:pPr>
        <w:pStyle w:val="11"/>
        <w:spacing w:before="84" w:line="312" w:lineRule="auto"/>
        <w:ind w:right="5877" w:firstLine="720" w:firstLineChars="300"/>
        <w:jc w:val="left"/>
      </w:pPr>
      <w:r>
        <w:t>招标人：</w:t>
      </w:r>
      <w:r>
        <w:rPr>
          <w:rFonts w:hint="eastAsia"/>
          <w:lang w:eastAsia="zh-CN"/>
        </w:rPr>
        <w:t>温岭市金港投资发展</w:t>
      </w:r>
      <w:r>
        <w:rPr>
          <w:rFonts w:hint="eastAsia"/>
          <w:lang w:val="en-US" w:eastAsia="zh-CN"/>
        </w:rPr>
        <w:t>有限</w:t>
      </w:r>
      <w:r>
        <w:rPr>
          <w:rFonts w:hint="eastAsia"/>
          <w:lang w:eastAsia="zh-CN"/>
        </w:rPr>
        <w:t>公司</w:t>
      </w:r>
    </w:p>
    <w:p>
      <w:pPr>
        <w:pStyle w:val="11"/>
        <w:spacing w:before="84" w:line="312" w:lineRule="auto"/>
        <w:ind w:left="1306" w:right="5877"/>
        <w:jc w:val="left"/>
        <w:rPr>
          <w:rFonts w:hint="eastAsia" w:eastAsia="宋体"/>
          <w:lang w:eastAsia="zh-CN"/>
        </w:rPr>
      </w:pPr>
      <w:r>
        <w:rPr>
          <w:spacing w:val="-5"/>
        </w:rPr>
        <w:t>地址：温岭市</w:t>
      </w:r>
      <w:r>
        <w:rPr>
          <w:rFonts w:hint="eastAsia"/>
          <w:spacing w:val="-5"/>
          <w:lang w:val="en-US" w:eastAsia="zh-CN"/>
        </w:rPr>
        <w:t>新河镇</w:t>
      </w:r>
    </w:p>
    <w:p>
      <w:pPr>
        <w:pStyle w:val="11"/>
        <w:tabs>
          <w:tab w:val="left" w:pos="4786"/>
        </w:tabs>
        <w:spacing w:before="2" w:line="312" w:lineRule="auto"/>
        <w:ind w:left="1306" w:right="3278"/>
        <w:jc w:val="left"/>
        <w:rPr>
          <w:rFonts w:hint="eastAsia" w:eastAsia="宋体"/>
          <w:lang w:eastAsia="zh-CN"/>
        </w:rPr>
      </w:pPr>
      <w:r>
        <w:t>联系人：</w:t>
      </w:r>
      <w:r>
        <w:rPr>
          <w:rFonts w:hint="eastAsia"/>
          <w:lang w:eastAsia="zh-CN"/>
        </w:rPr>
        <w:t>鲍先生</w:t>
      </w:r>
      <w:r>
        <w:tab/>
      </w:r>
      <w:r>
        <w:t>联系电话</w:t>
      </w:r>
      <w:r>
        <w:rPr>
          <w:spacing w:val="-3"/>
        </w:rPr>
        <w:t>：</w:t>
      </w:r>
      <w:r>
        <w:rPr>
          <w:rFonts w:hint="eastAsia" w:ascii="Times New Roman"/>
          <w:spacing w:val="-3"/>
          <w:lang w:eastAsia="zh-CN"/>
        </w:rPr>
        <w:t>17858692250</w:t>
      </w:r>
      <w:r>
        <w:rPr>
          <w:rFonts w:ascii="Times New Roman" w:eastAsia="Times New Roman"/>
          <w:spacing w:val="-3"/>
        </w:rPr>
        <w:t xml:space="preserve"> </w:t>
      </w:r>
      <w:r>
        <w:t>招标代理机构：</w:t>
      </w:r>
      <w:r>
        <w:rPr>
          <w:rFonts w:hint="eastAsia"/>
          <w:lang w:eastAsia="zh-CN"/>
        </w:rPr>
        <w:t>浙江新诚信工程造价咨询有限公司</w:t>
      </w:r>
    </w:p>
    <w:p>
      <w:pPr>
        <w:pStyle w:val="11"/>
        <w:spacing w:line="307" w:lineRule="exact"/>
        <w:ind w:left="1306"/>
        <w:jc w:val="left"/>
      </w:pPr>
      <w:r>
        <w:t>地址：温岭市</w:t>
      </w:r>
      <w:r>
        <w:rPr>
          <w:rFonts w:hint="eastAsia"/>
          <w:lang w:val="en-US" w:eastAsia="zh-CN"/>
        </w:rPr>
        <w:t>广明大厦14</w:t>
      </w:r>
      <w:r>
        <w:t>楼</w:t>
      </w:r>
    </w:p>
    <w:p>
      <w:pPr>
        <w:pStyle w:val="11"/>
        <w:tabs>
          <w:tab w:val="left" w:pos="3946"/>
        </w:tabs>
        <w:spacing w:before="93"/>
        <w:ind w:left="1306"/>
        <w:jc w:val="left"/>
        <w:rPr>
          <w:rFonts w:hint="eastAsia" w:ascii="Times New Roman" w:eastAsia="宋体"/>
          <w:lang w:eastAsia="zh-CN"/>
        </w:rPr>
      </w:pPr>
      <w:r>
        <w:t>联 系 人：</w:t>
      </w:r>
      <w:r>
        <w:rPr>
          <w:rFonts w:hint="eastAsia"/>
          <w:lang w:eastAsia="zh-CN"/>
        </w:rPr>
        <w:t>柯光</w:t>
      </w:r>
      <w:r>
        <w:tab/>
      </w:r>
      <w:r>
        <w:rPr>
          <w:rFonts w:hint="eastAsia"/>
          <w:lang w:val="en-US" w:eastAsia="zh-CN"/>
        </w:rPr>
        <w:t xml:space="preserve">       </w:t>
      </w:r>
      <w:r>
        <w:t>联系电话：</w:t>
      </w:r>
      <w:r>
        <w:rPr>
          <w:rFonts w:hint="eastAsia" w:ascii="Times New Roman"/>
          <w:lang w:eastAsia="zh-CN"/>
        </w:rPr>
        <w:t>13566672626</w:t>
      </w:r>
    </w:p>
    <w:p>
      <w:pPr>
        <w:spacing w:after="0"/>
        <w:jc w:val="left"/>
        <w:rPr>
          <w:rFonts w:ascii="Times New Roman" w:eastAsia="Times New Roman"/>
        </w:rPr>
        <w:sectPr>
          <w:pgSz w:w="11910" w:h="16840"/>
          <w:pgMar w:top="1580" w:right="360" w:bottom="1300" w:left="760" w:header="0" w:footer="1029" w:gutter="0"/>
        </w:sectPr>
      </w:pPr>
    </w:p>
    <w:p>
      <w:pPr>
        <w:pStyle w:val="11"/>
        <w:rPr>
          <w:rFonts w:ascii="Times New Roman"/>
          <w:sz w:val="20"/>
        </w:rPr>
      </w:pPr>
    </w:p>
    <w:p>
      <w:pPr>
        <w:pStyle w:val="11"/>
        <w:spacing w:before="8"/>
        <w:rPr>
          <w:rFonts w:ascii="Times New Roman"/>
          <w:sz w:val="29"/>
        </w:rPr>
      </w:pPr>
    </w:p>
    <w:p>
      <w:pPr>
        <w:pStyle w:val="8"/>
        <w:spacing w:before="62"/>
        <w:ind w:left="135" w:right="510"/>
        <w:jc w:val="center"/>
      </w:pPr>
      <w:r>
        <w:t>第二章 投标人须知前附表及投标人须知</w:t>
      </w:r>
    </w:p>
    <w:p>
      <w:pPr>
        <w:pStyle w:val="11"/>
        <w:rPr>
          <w:b/>
          <w:sz w:val="22"/>
        </w:rPr>
      </w:pPr>
    </w:p>
    <w:p>
      <w:pPr>
        <w:tabs>
          <w:tab w:val="left" w:pos="757"/>
        </w:tabs>
        <w:spacing w:before="0"/>
        <w:ind w:left="37" w:right="0" w:firstLine="0"/>
        <w:jc w:val="center"/>
        <w:rPr>
          <w:b/>
          <w:sz w:val="28"/>
        </w:rPr>
      </w:pPr>
      <w:r>
        <w:rPr>
          <w:sz w:val="24"/>
        </w:rPr>
        <w:t>一、</w:t>
      </w:r>
      <w:r>
        <w:rPr>
          <w:sz w:val="24"/>
        </w:rPr>
        <w:tab/>
      </w:r>
      <w:r>
        <w:rPr>
          <w:b/>
          <w:sz w:val="28"/>
        </w:rPr>
        <w:t>投标人须知前附表</w:t>
      </w:r>
    </w:p>
    <w:p>
      <w:pPr>
        <w:pStyle w:val="11"/>
        <w:spacing w:before="4"/>
        <w:rPr>
          <w:b/>
          <w:sz w:val="10"/>
        </w:rPr>
      </w:pPr>
    </w:p>
    <w:tbl>
      <w:tblPr>
        <w:tblStyle w:val="12"/>
        <w:tblW w:w="0" w:type="auto"/>
        <w:tblInd w:w="4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968"/>
        <w:gridCol w:w="675"/>
        <w:gridCol w:w="1817"/>
        <w:gridCol w:w="5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565" w:type="dxa"/>
          </w:tcPr>
          <w:p>
            <w:pPr>
              <w:pStyle w:val="19"/>
              <w:spacing w:before="21" w:line="320" w:lineRule="atLeast"/>
              <w:ind w:left="113" w:right="199"/>
              <w:rPr>
                <w:b/>
                <w:sz w:val="24"/>
              </w:rPr>
            </w:pPr>
            <w:r>
              <w:rPr>
                <w:b/>
                <w:sz w:val="24"/>
              </w:rPr>
              <w:t>项号</w:t>
            </w:r>
          </w:p>
        </w:tc>
        <w:tc>
          <w:tcPr>
            <w:tcW w:w="968" w:type="dxa"/>
          </w:tcPr>
          <w:p>
            <w:pPr>
              <w:pStyle w:val="19"/>
              <w:spacing w:before="21" w:line="320" w:lineRule="atLeast"/>
              <w:ind w:left="316" w:right="279" w:hanging="120"/>
              <w:rPr>
                <w:b/>
                <w:sz w:val="24"/>
              </w:rPr>
            </w:pPr>
            <w:r>
              <w:rPr>
                <w:b/>
                <w:sz w:val="24"/>
              </w:rPr>
              <w:t>条款号</w:t>
            </w:r>
          </w:p>
        </w:tc>
        <w:tc>
          <w:tcPr>
            <w:tcW w:w="2492" w:type="dxa"/>
            <w:gridSpan w:val="2"/>
          </w:tcPr>
          <w:p>
            <w:pPr>
              <w:pStyle w:val="19"/>
              <w:spacing w:before="194"/>
              <w:ind w:left="719"/>
              <w:rPr>
                <w:b/>
                <w:sz w:val="24"/>
              </w:rPr>
            </w:pPr>
            <w:r>
              <w:rPr>
                <w:b/>
                <w:sz w:val="24"/>
              </w:rPr>
              <w:t>条款名称</w:t>
            </w:r>
          </w:p>
        </w:tc>
        <w:tc>
          <w:tcPr>
            <w:tcW w:w="5761" w:type="dxa"/>
          </w:tcPr>
          <w:p>
            <w:pPr>
              <w:pStyle w:val="19"/>
              <w:spacing w:before="194"/>
              <w:ind w:left="2208" w:right="2288"/>
              <w:jc w:val="center"/>
              <w:rPr>
                <w:b/>
                <w:sz w:val="24"/>
              </w:rPr>
            </w:pPr>
            <w:r>
              <w:rPr>
                <w:b/>
                <w:sz w:val="24"/>
              </w:rPr>
              <w:t>编制内容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65" w:type="dxa"/>
            <w:vMerge w:val="restart"/>
          </w:tcPr>
          <w:p>
            <w:pPr>
              <w:pStyle w:val="19"/>
              <w:rPr>
                <w:b/>
                <w:sz w:val="22"/>
              </w:rPr>
            </w:pPr>
          </w:p>
          <w:p>
            <w:pPr>
              <w:pStyle w:val="19"/>
              <w:rPr>
                <w:b/>
                <w:sz w:val="22"/>
              </w:rPr>
            </w:pPr>
          </w:p>
          <w:p>
            <w:pPr>
              <w:pStyle w:val="19"/>
              <w:rPr>
                <w:b/>
                <w:sz w:val="22"/>
              </w:rPr>
            </w:pPr>
          </w:p>
          <w:p>
            <w:pPr>
              <w:pStyle w:val="19"/>
              <w:spacing w:before="4"/>
              <w:rPr>
                <w:b/>
                <w:sz w:val="20"/>
              </w:rPr>
            </w:pPr>
          </w:p>
          <w:p>
            <w:pPr>
              <w:pStyle w:val="19"/>
              <w:ind w:left="183"/>
              <w:rPr>
                <w:rFonts w:ascii="Times New Roman"/>
                <w:sz w:val="21"/>
              </w:rPr>
            </w:pPr>
            <w:r>
              <w:rPr>
                <w:rFonts w:ascii="Times New Roman"/>
                <w:w w:val="99"/>
                <w:sz w:val="21"/>
              </w:rPr>
              <w:t>1</w:t>
            </w:r>
          </w:p>
        </w:tc>
        <w:tc>
          <w:tcPr>
            <w:tcW w:w="968" w:type="dxa"/>
            <w:vMerge w:val="restart"/>
          </w:tcPr>
          <w:p>
            <w:pPr>
              <w:pStyle w:val="19"/>
              <w:rPr>
                <w:b/>
                <w:sz w:val="24"/>
              </w:rPr>
            </w:pPr>
          </w:p>
          <w:p>
            <w:pPr>
              <w:pStyle w:val="19"/>
              <w:rPr>
                <w:b/>
                <w:sz w:val="24"/>
              </w:rPr>
            </w:pPr>
          </w:p>
          <w:p>
            <w:pPr>
              <w:pStyle w:val="19"/>
              <w:rPr>
                <w:b/>
                <w:sz w:val="35"/>
              </w:rPr>
            </w:pPr>
          </w:p>
          <w:p>
            <w:pPr>
              <w:pStyle w:val="19"/>
              <w:spacing w:before="1"/>
              <w:ind w:left="256"/>
              <w:rPr>
                <w:sz w:val="24"/>
              </w:rPr>
            </w:pPr>
            <w:r>
              <w:rPr>
                <w:sz w:val="24"/>
              </w:rPr>
              <w:t>1.1</w:t>
            </w:r>
          </w:p>
        </w:tc>
        <w:tc>
          <w:tcPr>
            <w:tcW w:w="675" w:type="dxa"/>
            <w:vMerge w:val="restart"/>
          </w:tcPr>
          <w:p>
            <w:pPr>
              <w:pStyle w:val="19"/>
              <w:rPr>
                <w:b/>
                <w:sz w:val="24"/>
              </w:rPr>
            </w:pPr>
          </w:p>
          <w:p>
            <w:pPr>
              <w:pStyle w:val="19"/>
              <w:spacing w:before="7"/>
              <w:rPr>
                <w:b/>
                <w:sz w:val="21"/>
              </w:rPr>
            </w:pPr>
          </w:p>
          <w:p>
            <w:pPr>
              <w:pStyle w:val="19"/>
              <w:spacing w:before="1" w:line="249" w:lineRule="auto"/>
              <w:ind w:left="169" w:right="253"/>
              <w:jc w:val="both"/>
              <w:rPr>
                <w:sz w:val="24"/>
              </w:rPr>
            </w:pPr>
            <w:r>
              <w:rPr>
                <w:sz w:val="24"/>
              </w:rPr>
              <w:t>工程说明</w:t>
            </w:r>
          </w:p>
        </w:tc>
        <w:tc>
          <w:tcPr>
            <w:tcW w:w="1817" w:type="dxa"/>
            <w:vAlign w:val="center"/>
          </w:tcPr>
          <w:p>
            <w:pPr>
              <w:pStyle w:val="19"/>
              <w:spacing w:before="191"/>
              <w:ind w:left="106"/>
              <w:jc w:val="both"/>
              <w:rPr>
                <w:sz w:val="24"/>
              </w:rPr>
            </w:pPr>
            <w:r>
              <w:rPr>
                <w:sz w:val="24"/>
              </w:rPr>
              <w:t>项目名称</w:t>
            </w:r>
          </w:p>
        </w:tc>
        <w:tc>
          <w:tcPr>
            <w:tcW w:w="5761" w:type="dxa"/>
            <w:vAlign w:val="center"/>
          </w:tcPr>
          <w:p>
            <w:pPr>
              <w:pStyle w:val="19"/>
              <w:spacing w:before="17" w:line="320" w:lineRule="atLeast"/>
              <w:ind w:left="108" w:right="112"/>
              <w:jc w:val="both"/>
              <w:rPr>
                <w:sz w:val="24"/>
              </w:rPr>
            </w:pPr>
            <w:r>
              <w:rPr>
                <w:rFonts w:hint="eastAsia"/>
                <w:sz w:val="24"/>
                <w:lang w:eastAsia="zh-CN"/>
              </w:rPr>
              <w:t>温岭市新河镇XH010201地块</w:t>
            </w:r>
            <w:r>
              <w:rPr>
                <w:sz w:val="24"/>
              </w:rPr>
              <w:t>监理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565" w:type="dxa"/>
            <w:vMerge w:val="continue"/>
            <w:tcBorders>
              <w:top w:val="nil"/>
            </w:tcBorders>
          </w:tcPr>
          <w:p>
            <w:pPr>
              <w:rPr>
                <w:sz w:val="2"/>
                <w:szCs w:val="2"/>
              </w:rPr>
            </w:pPr>
          </w:p>
        </w:tc>
        <w:tc>
          <w:tcPr>
            <w:tcW w:w="968" w:type="dxa"/>
            <w:vMerge w:val="continue"/>
            <w:tcBorders>
              <w:top w:val="nil"/>
            </w:tcBorders>
          </w:tcPr>
          <w:p>
            <w:pPr>
              <w:rPr>
                <w:sz w:val="2"/>
                <w:szCs w:val="2"/>
              </w:rPr>
            </w:pPr>
          </w:p>
        </w:tc>
        <w:tc>
          <w:tcPr>
            <w:tcW w:w="675" w:type="dxa"/>
            <w:vMerge w:val="continue"/>
            <w:tcBorders>
              <w:top w:val="nil"/>
            </w:tcBorders>
          </w:tcPr>
          <w:p>
            <w:pPr>
              <w:rPr>
                <w:sz w:val="2"/>
                <w:szCs w:val="2"/>
              </w:rPr>
            </w:pPr>
          </w:p>
        </w:tc>
        <w:tc>
          <w:tcPr>
            <w:tcW w:w="1817" w:type="dxa"/>
          </w:tcPr>
          <w:p>
            <w:pPr>
              <w:pStyle w:val="19"/>
              <w:spacing w:before="30" w:line="283" w:lineRule="exact"/>
              <w:ind w:left="106"/>
              <w:rPr>
                <w:sz w:val="24"/>
              </w:rPr>
            </w:pPr>
            <w:r>
              <w:rPr>
                <w:sz w:val="24"/>
              </w:rPr>
              <w:t>建设地点</w:t>
            </w:r>
          </w:p>
        </w:tc>
        <w:tc>
          <w:tcPr>
            <w:tcW w:w="5761" w:type="dxa"/>
          </w:tcPr>
          <w:p>
            <w:pPr>
              <w:pStyle w:val="19"/>
              <w:spacing w:before="18" w:line="295" w:lineRule="exact"/>
              <w:ind w:left="108"/>
              <w:rPr>
                <w:sz w:val="24"/>
              </w:rPr>
            </w:pPr>
            <w:r>
              <w:rPr>
                <w:sz w:val="24"/>
              </w:rPr>
              <w:t>温岭市</w:t>
            </w:r>
            <w:r>
              <w:rPr>
                <w:rFonts w:hint="eastAsia"/>
                <w:sz w:val="24"/>
                <w:lang w:val="en-US" w:eastAsia="zh-CN"/>
              </w:rPr>
              <w:t>新河</w:t>
            </w:r>
            <w:r>
              <w:rPr>
                <w:sz w:val="24"/>
              </w:rPr>
              <w:t>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65" w:type="dxa"/>
            <w:vMerge w:val="continue"/>
            <w:tcBorders>
              <w:top w:val="nil"/>
            </w:tcBorders>
          </w:tcPr>
          <w:p>
            <w:pPr>
              <w:rPr>
                <w:sz w:val="2"/>
                <w:szCs w:val="2"/>
              </w:rPr>
            </w:pPr>
          </w:p>
        </w:tc>
        <w:tc>
          <w:tcPr>
            <w:tcW w:w="968" w:type="dxa"/>
            <w:vMerge w:val="continue"/>
            <w:tcBorders>
              <w:top w:val="nil"/>
            </w:tcBorders>
          </w:tcPr>
          <w:p>
            <w:pPr>
              <w:rPr>
                <w:sz w:val="2"/>
                <w:szCs w:val="2"/>
              </w:rPr>
            </w:pPr>
          </w:p>
        </w:tc>
        <w:tc>
          <w:tcPr>
            <w:tcW w:w="675" w:type="dxa"/>
            <w:vMerge w:val="continue"/>
            <w:tcBorders>
              <w:top w:val="nil"/>
            </w:tcBorders>
          </w:tcPr>
          <w:p>
            <w:pPr>
              <w:rPr>
                <w:sz w:val="2"/>
                <w:szCs w:val="2"/>
              </w:rPr>
            </w:pPr>
          </w:p>
        </w:tc>
        <w:tc>
          <w:tcPr>
            <w:tcW w:w="1817" w:type="dxa"/>
          </w:tcPr>
          <w:p>
            <w:pPr>
              <w:pStyle w:val="19"/>
              <w:spacing w:before="40" w:line="291" w:lineRule="exact"/>
              <w:ind w:left="106"/>
              <w:rPr>
                <w:sz w:val="24"/>
              </w:rPr>
            </w:pPr>
            <w:r>
              <w:rPr>
                <w:sz w:val="24"/>
              </w:rPr>
              <w:t>批准文号</w:t>
            </w:r>
          </w:p>
        </w:tc>
        <w:tc>
          <w:tcPr>
            <w:tcW w:w="5761" w:type="dxa"/>
          </w:tcPr>
          <w:p>
            <w:pPr>
              <w:pStyle w:val="19"/>
              <w:spacing w:before="28" w:line="303" w:lineRule="exact"/>
              <w:ind w:left="108"/>
              <w:rPr>
                <w:sz w:val="24"/>
              </w:rPr>
            </w:pPr>
            <w:r>
              <w:rPr>
                <w:rFonts w:hint="eastAsia"/>
                <w:sz w:val="24"/>
                <w:lang w:val="en-US" w:eastAsia="zh-CN"/>
              </w:rPr>
              <w:t>2020-331081-70-03-116684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565" w:type="dxa"/>
            <w:vMerge w:val="continue"/>
            <w:tcBorders>
              <w:top w:val="nil"/>
            </w:tcBorders>
          </w:tcPr>
          <w:p>
            <w:pPr>
              <w:rPr>
                <w:sz w:val="2"/>
                <w:szCs w:val="2"/>
              </w:rPr>
            </w:pPr>
          </w:p>
        </w:tc>
        <w:tc>
          <w:tcPr>
            <w:tcW w:w="968" w:type="dxa"/>
            <w:vMerge w:val="continue"/>
            <w:tcBorders>
              <w:top w:val="nil"/>
            </w:tcBorders>
          </w:tcPr>
          <w:p>
            <w:pPr>
              <w:rPr>
                <w:sz w:val="2"/>
                <w:szCs w:val="2"/>
              </w:rPr>
            </w:pPr>
          </w:p>
        </w:tc>
        <w:tc>
          <w:tcPr>
            <w:tcW w:w="675" w:type="dxa"/>
            <w:vMerge w:val="continue"/>
            <w:tcBorders>
              <w:top w:val="nil"/>
            </w:tcBorders>
          </w:tcPr>
          <w:p>
            <w:pPr>
              <w:rPr>
                <w:sz w:val="2"/>
                <w:szCs w:val="2"/>
              </w:rPr>
            </w:pPr>
          </w:p>
        </w:tc>
        <w:tc>
          <w:tcPr>
            <w:tcW w:w="1817" w:type="dxa"/>
          </w:tcPr>
          <w:p>
            <w:pPr>
              <w:pStyle w:val="19"/>
              <w:spacing w:before="34" w:line="283" w:lineRule="exact"/>
              <w:ind w:left="106"/>
              <w:rPr>
                <w:sz w:val="24"/>
              </w:rPr>
            </w:pPr>
            <w:r>
              <w:rPr>
                <w:sz w:val="24"/>
              </w:rPr>
              <w:t>招标方式</w:t>
            </w:r>
          </w:p>
        </w:tc>
        <w:tc>
          <w:tcPr>
            <w:tcW w:w="5761" w:type="dxa"/>
          </w:tcPr>
          <w:p>
            <w:pPr>
              <w:pStyle w:val="19"/>
              <w:spacing w:before="22" w:line="295" w:lineRule="exact"/>
              <w:ind w:left="108"/>
              <w:rPr>
                <w:sz w:val="24"/>
              </w:rPr>
            </w:pPr>
            <w:r>
              <w:rPr>
                <w:sz w:val="24"/>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565" w:type="dxa"/>
            <w:vMerge w:val="continue"/>
            <w:tcBorders>
              <w:top w:val="nil"/>
            </w:tcBorders>
          </w:tcPr>
          <w:p>
            <w:pPr>
              <w:rPr>
                <w:sz w:val="2"/>
                <w:szCs w:val="2"/>
              </w:rPr>
            </w:pPr>
          </w:p>
        </w:tc>
        <w:tc>
          <w:tcPr>
            <w:tcW w:w="968" w:type="dxa"/>
            <w:vMerge w:val="continue"/>
            <w:tcBorders>
              <w:top w:val="nil"/>
            </w:tcBorders>
          </w:tcPr>
          <w:p>
            <w:pPr>
              <w:rPr>
                <w:sz w:val="2"/>
                <w:szCs w:val="2"/>
              </w:rPr>
            </w:pPr>
          </w:p>
        </w:tc>
        <w:tc>
          <w:tcPr>
            <w:tcW w:w="675" w:type="dxa"/>
            <w:vMerge w:val="continue"/>
            <w:tcBorders>
              <w:top w:val="nil"/>
            </w:tcBorders>
          </w:tcPr>
          <w:p>
            <w:pPr>
              <w:rPr>
                <w:sz w:val="2"/>
                <w:szCs w:val="2"/>
              </w:rPr>
            </w:pPr>
          </w:p>
        </w:tc>
        <w:tc>
          <w:tcPr>
            <w:tcW w:w="1817" w:type="dxa"/>
          </w:tcPr>
          <w:p>
            <w:pPr>
              <w:pStyle w:val="19"/>
              <w:spacing w:before="35" w:line="282" w:lineRule="exact"/>
              <w:ind w:left="106"/>
              <w:rPr>
                <w:sz w:val="24"/>
              </w:rPr>
            </w:pPr>
            <w:r>
              <w:rPr>
                <w:sz w:val="24"/>
              </w:rPr>
              <w:t>招标人</w:t>
            </w:r>
          </w:p>
        </w:tc>
        <w:tc>
          <w:tcPr>
            <w:tcW w:w="5761" w:type="dxa"/>
          </w:tcPr>
          <w:p>
            <w:pPr>
              <w:pStyle w:val="19"/>
              <w:spacing w:before="23" w:line="294" w:lineRule="exact"/>
              <w:ind w:left="108"/>
              <w:rPr>
                <w:rFonts w:hint="eastAsia" w:eastAsia="宋体"/>
                <w:sz w:val="24"/>
                <w:lang w:eastAsia="zh-CN"/>
              </w:rPr>
            </w:pPr>
            <w:r>
              <w:rPr>
                <w:rFonts w:hint="eastAsia"/>
                <w:sz w:val="24"/>
                <w:lang w:eastAsia="zh-CN"/>
              </w:rPr>
              <w:t>温岭市金港投资发展有限公司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565" w:type="dxa"/>
            <w:vMerge w:val="continue"/>
            <w:tcBorders>
              <w:top w:val="nil"/>
            </w:tcBorders>
          </w:tcPr>
          <w:p>
            <w:pPr>
              <w:rPr>
                <w:sz w:val="2"/>
                <w:szCs w:val="2"/>
              </w:rPr>
            </w:pPr>
          </w:p>
        </w:tc>
        <w:tc>
          <w:tcPr>
            <w:tcW w:w="968" w:type="dxa"/>
            <w:vMerge w:val="continue"/>
            <w:tcBorders>
              <w:top w:val="nil"/>
            </w:tcBorders>
          </w:tcPr>
          <w:p>
            <w:pPr>
              <w:rPr>
                <w:sz w:val="2"/>
                <w:szCs w:val="2"/>
              </w:rPr>
            </w:pPr>
          </w:p>
        </w:tc>
        <w:tc>
          <w:tcPr>
            <w:tcW w:w="675" w:type="dxa"/>
            <w:vMerge w:val="continue"/>
            <w:tcBorders>
              <w:top w:val="nil"/>
            </w:tcBorders>
          </w:tcPr>
          <w:p>
            <w:pPr>
              <w:rPr>
                <w:sz w:val="2"/>
                <w:szCs w:val="2"/>
              </w:rPr>
            </w:pPr>
          </w:p>
        </w:tc>
        <w:tc>
          <w:tcPr>
            <w:tcW w:w="1817" w:type="dxa"/>
          </w:tcPr>
          <w:p>
            <w:pPr>
              <w:pStyle w:val="19"/>
              <w:spacing w:before="33" w:line="283" w:lineRule="exact"/>
              <w:ind w:left="106"/>
              <w:rPr>
                <w:sz w:val="24"/>
              </w:rPr>
            </w:pPr>
            <w:r>
              <w:rPr>
                <w:sz w:val="24"/>
              </w:rPr>
              <w:t>招标代理机构</w:t>
            </w:r>
          </w:p>
        </w:tc>
        <w:tc>
          <w:tcPr>
            <w:tcW w:w="5761" w:type="dxa"/>
          </w:tcPr>
          <w:p>
            <w:pPr>
              <w:pStyle w:val="19"/>
              <w:spacing w:before="22" w:line="295" w:lineRule="exact"/>
              <w:ind w:left="108"/>
              <w:rPr>
                <w:rFonts w:hint="eastAsia" w:eastAsia="宋体"/>
                <w:sz w:val="24"/>
                <w:lang w:eastAsia="zh-CN"/>
              </w:rPr>
            </w:pPr>
            <w:r>
              <w:rPr>
                <w:rFonts w:hint="eastAsia"/>
                <w:sz w:val="24"/>
                <w:lang w:eastAsia="zh-CN"/>
              </w:rPr>
              <w:t>浙江新诚信工程造价咨询有限公司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565" w:type="dxa"/>
          </w:tcPr>
          <w:p>
            <w:pPr>
              <w:pStyle w:val="19"/>
              <w:spacing w:before="98"/>
              <w:ind w:right="81"/>
              <w:jc w:val="center"/>
              <w:rPr>
                <w:rFonts w:ascii="Times New Roman"/>
                <w:sz w:val="21"/>
              </w:rPr>
            </w:pPr>
            <w:r>
              <w:rPr>
                <w:rFonts w:ascii="Times New Roman"/>
                <w:w w:val="99"/>
                <w:sz w:val="21"/>
              </w:rPr>
              <w:t>2</w:t>
            </w:r>
          </w:p>
        </w:tc>
        <w:tc>
          <w:tcPr>
            <w:tcW w:w="968" w:type="dxa"/>
          </w:tcPr>
          <w:p>
            <w:pPr>
              <w:pStyle w:val="19"/>
              <w:spacing w:before="54" w:line="303" w:lineRule="exact"/>
              <w:ind w:right="339"/>
              <w:jc w:val="right"/>
              <w:rPr>
                <w:sz w:val="24"/>
              </w:rPr>
            </w:pPr>
            <w:r>
              <w:rPr>
                <w:sz w:val="24"/>
              </w:rPr>
              <w:t>2.1</w:t>
            </w:r>
          </w:p>
        </w:tc>
        <w:tc>
          <w:tcPr>
            <w:tcW w:w="2492" w:type="dxa"/>
            <w:gridSpan w:val="2"/>
          </w:tcPr>
          <w:p>
            <w:pPr>
              <w:pStyle w:val="19"/>
              <w:spacing w:before="54" w:line="303" w:lineRule="exact"/>
              <w:ind w:left="719"/>
              <w:rPr>
                <w:sz w:val="24"/>
              </w:rPr>
            </w:pPr>
            <w:r>
              <w:rPr>
                <w:sz w:val="24"/>
              </w:rPr>
              <w:t>质量要求</w:t>
            </w:r>
          </w:p>
        </w:tc>
        <w:tc>
          <w:tcPr>
            <w:tcW w:w="5761" w:type="dxa"/>
          </w:tcPr>
          <w:p>
            <w:pPr>
              <w:pStyle w:val="19"/>
              <w:spacing w:before="54" w:line="303" w:lineRule="exact"/>
              <w:ind w:left="108"/>
              <w:rPr>
                <w:sz w:val="24"/>
              </w:rPr>
            </w:pPr>
            <w:r>
              <w:rPr>
                <w:sz w:val="24"/>
              </w:rPr>
              <w:t>质量标准：合格；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565" w:type="dxa"/>
          </w:tcPr>
          <w:p>
            <w:pPr>
              <w:pStyle w:val="19"/>
              <w:rPr>
                <w:b/>
                <w:sz w:val="31"/>
              </w:rPr>
            </w:pPr>
          </w:p>
          <w:p>
            <w:pPr>
              <w:pStyle w:val="19"/>
              <w:ind w:right="81"/>
              <w:jc w:val="center"/>
              <w:rPr>
                <w:rFonts w:ascii="Times New Roman"/>
                <w:sz w:val="21"/>
              </w:rPr>
            </w:pPr>
            <w:r>
              <w:rPr>
                <w:rFonts w:ascii="Times New Roman"/>
                <w:w w:val="99"/>
                <w:sz w:val="21"/>
              </w:rPr>
              <w:t>3</w:t>
            </w:r>
          </w:p>
        </w:tc>
        <w:tc>
          <w:tcPr>
            <w:tcW w:w="968" w:type="dxa"/>
          </w:tcPr>
          <w:p>
            <w:pPr>
              <w:pStyle w:val="19"/>
              <w:spacing w:before="7"/>
              <w:rPr>
                <w:b/>
                <w:sz w:val="27"/>
              </w:rPr>
            </w:pPr>
          </w:p>
          <w:p>
            <w:pPr>
              <w:pStyle w:val="19"/>
              <w:ind w:right="339"/>
              <w:jc w:val="right"/>
              <w:rPr>
                <w:sz w:val="24"/>
              </w:rPr>
            </w:pPr>
            <w:r>
              <w:rPr>
                <w:sz w:val="24"/>
              </w:rPr>
              <w:t>2.2</w:t>
            </w:r>
          </w:p>
        </w:tc>
        <w:tc>
          <w:tcPr>
            <w:tcW w:w="2492" w:type="dxa"/>
            <w:gridSpan w:val="2"/>
          </w:tcPr>
          <w:p>
            <w:pPr>
              <w:pStyle w:val="19"/>
              <w:spacing w:before="7"/>
              <w:rPr>
                <w:b/>
                <w:sz w:val="27"/>
              </w:rPr>
            </w:pPr>
          </w:p>
          <w:p>
            <w:pPr>
              <w:pStyle w:val="19"/>
              <w:ind w:left="719"/>
              <w:rPr>
                <w:sz w:val="24"/>
              </w:rPr>
            </w:pPr>
            <w:r>
              <w:rPr>
                <w:sz w:val="24"/>
              </w:rPr>
              <w:t>招标范围</w:t>
            </w:r>
          </w:p>
        </w:tc>
        <w:tc>
          <w:tcPr>
            <w:tcW w:w="5761" w:type="dxa"/>
          </w:tcPr>
          <w:p>
            <w:pPr>
              <w:pStyle w:val="19"/>
              <w:spacing w:before="34" w:line="249" w:lineRule="auto"/>
              <w:ind w:left="108" w:right="111"/>
              <w:rPr>
                <w:sz w:val="24"/>
              </w:rPr>
            </w:pPr>
            <w:r>
              <w:rPr>
                <w:rFonts w:hint="eastAsia"/>
                <w:sz w:val="24"/>
                <w:lang w:eastAsia="zh-CN"/>
              </w:rPr>
              <w:t>温岭市新河镇XH010201地块</w:t>
            </w:r>
            <w:r>
              <w:rPr>
                <w:sz w:val="24"/>
              </w:rPr>
              <w:t>施工全过程及保修阶段的监理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65" w:type="dxa"/>
          </w:tcPr>
          <w:p>
            <w:pPr>
              <w:pStyle w:val="19"/>
              <w:spacing w:before="101"/>
              <w:ind w:right="81"/>
              <w:jc w:val="center"/>
              <w:rPr>
                <w:rFonts w:ascii="Times New Roman"/>
                <w:sz w:val="21"/>
              </w:rPr>
            </w:pPr>
            <w:r>
              <w:rPr>
                <w:rFonts w:ascii="Times New Roman"/>
                <w:w w:val="99"/>
                <w:sz w:val="21"/>
              </w:rPr>
              <w:t>4</w:t>
            </w:r>
          </w:p>
        </w:tc>
        <w:tc>
          <w:tcPr>
            <w:tcW w:w="968" w:type="dxa"/>
          </w:tcPr>
          <w:p>
            <w:pPr>
              <w:pStyle w:val="19"/>
              <w:spacing w:before="57"/>
              <w:ind w:right="339"/>
              <w:jc w:val="right"/>
              <w:rPr>
                <w:sz w:val="24"/>
              </w:rPr>
            </w:pPr>
            <w:r>
              <w:rPr>
                <w:sz w:val="24"/>
              </w:rPr>
              <w:t>3.1</w:t>
            </w:r>
          </w:p>
        </w:tc>
        <w:tc>
          <w:tcPr>
            <w:tcW w:w="2492" w:type="dxa"/>
            <w:gridSpan w:val="2"/>
          </w:tcPr>
          <w:p>
            <w:pPr>
              <w:pStyle w:val="19"/>
              <w:spacing w:before="57"/>
              <w:ind w:left="719"/>
              <w:rPr>
                <w:sz w:val="24"/>
              </w:rPr>
            </w:pPr>
            <w:r>
              <w:rPr>
                <w:sz w:val="24"/>
              </w:rPr>
              <w:t>资金来源</w:t>
            </w:r>
          </w:p>
        </w:tc>
        <w:tc>
          <w:tcPr>
            <w:tcW w:w="5761" w:type="dxa"/>
          </w:tcPr>
          <w:p>
            <w:pPr>
              <w:pStyle w:val="19"/>
              <w:spacing w:before="57"/>
              <w:ind w:left="108"/>
              <w:rPr>
                <w:sz w:val="24"/>
              </w:rPr>
            </w:pPr>
            <w:r>
              <w:rPr>
                <w:sz w:val="24"/>
              </w:rPr>
              <w:t>自筹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trPr>
        <w:tc>
          <w:tcPr>
            <w:tcW w:w="565" w:type="dxa"/>
          </w:tcPr>
          <w:p>
            <w:pPr>
              <w:pStyle w:val="19"/>
              <w:rPr>
                <w:b/>
                <w:sz w:val="22"/>
              </w:rPr>
            </w:pPr>
          </w:p>
          <w:p>
            <w:pPr>
              <w:pStyle w:val="19"/>
              <w:rPr>
                <w:b/>
                <w:sz w:val="22"/>
              </w:rPr>
            </w:pPr>
          </w:p>
          <w:p>
            <w:pPr>
              <w:pStyle w:val="19"/>
              <w:rPr>
                <w:b/>
                <w:sz w:val="22"/>
              </w:rPr>
            </w:pPr>
          </w:p>
          <w:p>
            <w:pPr>
              <w:pStyle w:val="19"/>
              <w:spacing w:before="183"/>
              <w:ind w:right="81"/>
              <w:jc w:val="center"/>
              <w:rPr>
                <w:rFonts w:ascii="Times New Roman"/>
                <w:sz w:val="21"/>
              </w:rPr>
            </w:pPr>
            <w:r>
              <w:rPr>
                <w:rFonts w:ascii="Times New Roman"/>
                <w:w w:val="99"/>
                <w:sz w:val="21"/>
              </w:rPr>
              <w:t>5</w:t>
            </w:r>
          </w:p>
        </w:tc>
        <w:tc>
          <w:tcPr>
            <w:tcW w:w="968" w:type="dxa"/>
          </w:tcPr>
          <w:p>
            <w:pPr>
              <w:pStyle w:val="19"/>
              <w:rPr>
                <w:b/>
                <w:sz w:val="24"/>
              </w:rPr>
            </w:pPr>
          </w:p>
          <w:p>
            <w:pPr>
              <w:pStyle w:val="19"/>
              <w:rPr>
                <w:b/>
                <w:sz w:val="24"/>
              </w:rPr>
            </w:pPr>
          </w:p>
          <w:p>
            <w:pPr>
              <w:pStyle w:val="19"/>
              <w:spacing w:before="11"/>
              <w:rPr>
                <w:b/>
                <w:sz w:val="28"/>
              </w:rPr>
            </w:pPr>
          </w:p>
          <w:p>
            <w:pPr>
              <w:pStyle w:val="19"/>
              <w:ind w:right="339"/>
              <w:jc w:val="right"/>
              <w:rPr>
                <w:sz w:val="24"/>
              </w:rPr>
            </w:pPr>
            <w:r>
              <w:rPr>
                <w:sz w:val="24"/>
              </w:rPr>
              <w:t>4.1</w:t>
            </w:r>
          </w:p>
        </w:tc>
        <w:tc>
          <w:tcPr>
            <w:tcW w:w="2492" w:type="dxa"/>
            <w:gridSpan w:val="2"/>
          </w:tcPr>
          <w:p>
            <w:pPr>
              <w:pStyle w:val="19"/>
              <w:rPr>
                <w:b/>
                <w:sz w:val="24"/>
              </w:rPr>
            </w:pPr>
          </w:p>
          <w:p>
            <w:pPr>
              <w:pStyle w:val="19"/>
              <w:rPr>
                <w:b/>
                <w:sz w:val="24"/>
              </w:rPr>
            </w:pPr>
          </w:p>
          <w:p>
            <w:pPr>
              <w:pStyle w:val="19"/>
              <w:spacing w:before="11"/>
              <w:rPr>
                <w:b/>
                <w:sz w:val="28"/>
              </w:rPr>
            </w:pPr>
          </w:p>
          <w:p>
            <w:pPr>
              <w:pStyle w:val="19"/>
              <w:ind w:left="359"/>
              <w:rPr>
                <w:sz w:val="24"/>
              </w:rPr>
            </w:pPr>
            <w:r>
              <w:rPr>
                <w:sz w:val="24"/>
              </w:rPr>
              <w:t>投标人资格要求</w:t>
            </w:r>
          </w:p>
        </w:tc>
        <w:tc>
          <w:tcPr>
            <w:tcW w:w="5761" w:type="dxa"/>
          </w:tcPr>
          <w:p>
            <w:pPr>
              <w:pStyle w:val="19"/>
              <w:spacing w:before="18" w:line="249" w:lineRule="auto"/>
              <w:ind w:left="108" w:right="110"/>
              <w:jc w:val="both"/>
              <w:rPr>
                <w:rFonts w:hint="eastAsia" w:eastAsia="宋体"/>
                <w:spacing w:val="-1"/>
                <w:sz w:val="24"/>
                <w:lang w:eastAsia="zh-CN"/>
              </w:rPr>
            </w:pPr>
            <w:r>
              <w:rPr>
                <w:spacing w:val="-1"/>
                <w:sz w:val="24"/>
              </w:rPr>
              <w:t>投标人资质条件：</w:t>
            </w:r>
            <w:r>
              <w:rPr>
                <w:spacing w:val="-1"/>
                <w:sz w:val="24"/>
                <w:u w:val="single"/>
              </w:rPr>
              <w:t>监理综合资质或</w:t>
            </w:r>
            <w:r>
              <w:rPr>
                <w:rFonts w:hint="eastAsia"/>
                <w:spacing w:val="-1"/>
                <w:sz w:val="24"/>
                <w:u w:val="single"/>
                <w:lang w:eastAsia="zh-CN"/>
              </w:rPr>
              <w:t>房屋建筑</w:t>
            </w:r>
            <w:r>
              <w:rPr>
                <w:spacing w:val="-1"/>
                <w:sz w:val="24"/>
                <w:u w:val="single"/>
              </w:rPr>
              <w:t>工程专业监理</w:t>
            </w:r>
            <w:r>
              <w:rPr>
                <w:rFonts w:hint="eastAsia"/>
                <w:spacing w:val="-1"/>
                <w:sz w:val="24"/>
                <w:u w:val="single"/>
                <w:lang w:eastAsia="zh-CN"/>
              </w:rPr>
              <w:t>甲</w:t>
            </w:r>
            <w:r>
              <w:rPr>
                <w:spacing w:val="-1"/>
                <w:sz w:val="24"/>
                <w:u w:val="single"/>
              </w:rPr>
              <w:t>级及</w:t>
            </w:r>
            <w:r>
              <w:rPr>
                <w:rFonts w:hint="eastAsia"/>
                <w:spacing w:val="-1"/>
                <w:sz w:val="24"/>
                <w:u w:val="single"/>
                <w:lang w:eastAsia="zh-CN"/>
              </w:rPr>
              <w:t>上资质</w:t>
            </w:r>
            <w:r>
              <w:rPr>
                <w:rFonts w:hint="eastAsia"/>
                <w:sz w:val="24"/>
                <w:u w:val="single"/>
                <w:lang w:val="en-US" w:eastAsia="zh-CN"/>
              </w:rPr>
              <w:t>并在人员、设备、资金等方面具有相应的监理能力</w:t>
            </w:r>
            <w:r>
              <w:rPr>
                <w:rFonts w:hint="eastAsia"/>
                <w:spacing w:val="-1"/>
                <w:sz w:val="24"/>
                <w:u w:val="single"/>
                <w:lang w:eastAsia="zh-CN"/>
              </w:rPr>
              <w:t>。</w:t>
            </w:r>
          </w:p>
          <w:p>
            <w:pPr>
              <w:pStyle w:val="19"/>
              <w:spacing w:before="18" w:line="249" w:lineRule="auto"/>
              <w:ind w:left="108" w:right="110"/>
              <w:jc w:val="both"/>
              <w:rPr>
                <w:sz w:val="24"/>
              </w:rPr>
            </w:pPr>
            <w:r>
              <w:rPr>
                <w:spacing w:val="-1"/>
                <w:sz w:val="24"/>
              </w:rPr>
              <w:t>项目总监资格：</w:t>
            </w:r>
            <w:r>
              <w:rPr>
                <w:rFonts w:hint="eastAsia"/>
                <w:sz w:val="24"/>
                <w:u w:val="single"/>
                <w:lang w:eastAsia="zh-CN"/>
              </w:rPr>
              <w:t>房屋建筑</w:t>
            </w:r>
            <w:r>
              <w:rPr>
                <w:sz w:val="24"/>
                <w:u w:val="single"/>
              </w:rPr>
              <w:t>工程专业国家注册监理</w:t>
            </w:r>
            <w:r>
              <w:rPr>
                <w:rFonts w:hint="eastAsia"/>
                <w:sz w:val="24"/>
                <w:u w:val="single"/>
                <w:lang w:val="en-US" w:eastAsia="zh-CN"/>
              </w:rPr>
              <w:t>工程师</w:t>
            </w:r>
            <w:r>
              <w:rPr>
                <w:sz w:val="24"/>
                <w:u w:val="single"/>
              </w:rPr>
              <w:t>资格。</w:t>
            </w:r>
          </w:p>
          <w:p>
            <w:pPr>
              <w:pStyle w:val="19"/>
              <w:spacing w:before="1" w:line="282" w:lineRule="exact"/>
              <w:ind w:left="108"/>
              <w:rPr>
                <w:sz w:val="24"/>
              </w:rPr>
            </w:pPr>
            <w:r>
              <w:rPr>
                <w:spacing w:val="-13"/>
                <w:sz w:val="24"/>
              </w:rPr>
              <w:t>专业监理人员要求：</w:t>
            </w:r>
            <w:r>
              <w:rPr>
                <w:rFonts w:hint="eastAsia"/>
                <w:spacing w:val="-13"/>
                <w:sz w:val="24"/>
                <w:u w:val="single"/>
              </w:rPr>
              <w:t>主导专业监理工程师（总监不得兼任）至少1 人（</w:t>
            </w:r>
            <w:r>
              <w:rPr>
                <w:rFonts w:hint="eastAsia"/>
                <w:spacing w:val="-13"/>
                <w:sz w:val="24"/>
                <w:u w:val="single"/>
                <w:lang w:eastAsia="zh-CN"/>
              </w:rPr>
              <w:t>房屋建筑</w:t>
            </w:r>
            <w:r>
              <w:rPr>
                <w:rFonts w:hint="eastAsia"/>
                <w:spacing w:val="-13"/>
                <w:sz w:val="24"/>
                <w:u w:val="single"/>
              </w:rPr>
              <w:t>专业），要求为已取得监理工程师证书及以上资格；主导专业监理员基本要求至少 1 人（</w:t>
            </w:r>
            <w:r>
              <w:rPr>
                <w:rFonts w:hint="eastAsia"/>
                <w:spacing w:val="-13"/>
                <w:sz w:val="24"/>
                <w:u w:val="single"/>
                <w:lang w:eastAsia="zh-CN"/>
              </w:rPr>
              <w:t>房屋建筑</w:t>
            </w:r>
            <w:r>
              <w:rPr>
                <w:rFonts w:hint="eastAsia"/>
                <w:spacing w:val="-13"/>
                <w:sz w:val="24"/>
                <w:u w:val="single"/>
              </w:rPr>
              <w:t>专业），持有监理员岗位证书及以上资格</w:t>
            </w:r>
            <w:r>
              <w:rPr>
                <w:rFonts w:hint="eastAsia"/>
                <w:spacing w:val="-13"/>
                <w:sz w:val="24"/>
                <w:u w:val="single"/>
                <w:lang w:eastAsia="zh-CN"/>
              </w:rPr>
              <w:t>；配套专业监理员基本要求至少1 人（安装专业） ，持有监理员岗位证书及以上资格。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565" w:type="dxa"/>
          </w:tcPr>
          <w:p>
            <w:pPr>
              <w:pStyle w:val="19"/>
              <w:spacing w:before="8"/>
              <w:rPr>
                <w:b/>
                <w:sz w:val="17"/>
              </w:rPr>
            </w:pPr>
          </w:p>
          <w:p>
            <w:pPr>
              <w:pStyle w:val="19"/>
              <w:ind w:right="81"/>
              <w:jc w:val="center"/>
              <w:rPr>
                <w:rFonts w:ascii="Times New Roman"/>
                <w:sz w:val="21"/>
              </w:rPr>
            </w:pPr>
            <w:r>
              <w:rPr>
                <w:rFonts w:ascii="Times New Roman"/>
                <w:w w:val="99"/>
                <w:sz w:val="21"/>
              </w:rPr>
              <w:t>6</w:t>
            </w:r>
          </w:p>
        </w:tc>
        <w:tc>
          <w:tcPr>
            <w:tcW w:w="968" w:type="dxa"/>
          </w:tcPr>
          <w:p>
            <w:pPr>
              <w:pStyle w:val="19"/>
              <w:spacing w:before="182"/>
              <w:ind w:right="339"/>
              <w:jc w:val="right"/>
              <w:rPr>
                <w:sz w:val="24"/>
              </w:rPr>
            </w:pPr>
            <w:r>
              <w:rPr>
                <w:sz w:val="24"/>
              </w:rPr>
              <w:t>4.3</w:t>
            </w:r>
          </w:p>
        </w:tc>
        <w:tc>
          <w:tcPr>
            <w:tcW w:w="2492" w:type="dxa"/>
            <w:gridSpan w:val="2"/>
          </w:tcPr>
          <w:p>
            <w:pPr>
              <w:pStyle w:val="19"/>
              <w:spacing w:before="182"/>
              <w:ind w:left="119"/>
              <w:rPr>
                <w:sz w:val="24"/>
              </w:rPr>
            </w:pPr>
            <w:r>
              <w:rPr>
                <w:sz w:val="24"/>
              </w:rPr>
              <w:t>是否接受联合体投标</w:t>
            </w:r>
          </w:p>
        </w:tc>
        <w:tc>
          <w:tcPr>
            <w:tcW w:w="5761" w:type="dxa"/>
          </w:tcPr>
          <w:p>
            <w:pPr>
              <w:pStyle w:val="19"/>
              <w:spacing w:before="182"/>
              <w:ind w:left="108"/>
              <w:rPr>
                <w:sz w:val="24"/>
              </w:rPr>
            </w:pPr>
            <w:r>
              <w:rPr>
                <w:sz w:val="24"/>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565" w:type="dxa"/>
          </w:tcPr>
          <w:p>
            <w:pPr>
              <w:pStyle w:val="19"/>
              <w:spacing w:before="5"/>
              <w:rPr>
                <w:b/>
                <w:sz w:val="18"/>
              </w:rPr>
            </w:pPr>
          </w:p>
          <w:p>
            <w:pPr>
              <w:pStyle w:val="19"/>
              <w:ind w:right="81"/>
              <w:jc w:val="center"/>
              <w:rPr>
                <w:rFonts w:ascii="Times New Roman"/>
                <w:sz w:val="21"/>
              </w:rPr>
            </w:pPr>
            <w:r>
              <w:rPr>
                <w:rFonts w:ascii="Times New Roman"/>
                <w:w w:val="99"/>
                <w:sz w:val="21"/>
              </w:rPr>
              <w:t>7</w:t>
            </w:r>
          </w:p>
        </w:tc>
        <w:tc>
          <w:tcPr>
            <w:tcW w:w="968" w:type="dxa"/>
          </w:tcPr>
          <w:p>
            <w:pPr>
              <w:pStyle w:val="19"/>
              <w:spacing w:before="194"/>
              <w:ind w:right="82"/>
              <w:jc w:val="center"/>
              <w:rPr>
                <w:sz w:val="24"/>
              </w:rPr>
            </w:pPr>
            <w:r>
              <w:rPr>
                <w:sz w:val="24"/>
              </w:rPr>
              <w:t>5</w:t>
            </w:r>
          </w:p>
        </w:tc>
        <w:tc>
          <w:tcPr>
            <w:tcW w:w="2492" w:type="dxa"/>
            <w:gridSpan w:val="2"/>
          </w:tcPr>
          <w:p>
            <w:pPr>
              <w:pStyle w:val="19"/>
              <w:spacing w:before="21" w:line="320" w:lineRule="atLeast"/>
              <w:ind w:left="1079" w:right="200" w:hanging="960"/>
              <w:rPr>
                <w:sz w:val="24"/>
              </w:rPr>
            </w:pPr>
            <w:r>
              <w:rPr>
                <w:sz w:val="24"/>
              </w:rPr>
              <w:t>现场踏勘及投标预备会</w:t>
            </w:r>
          </w:p>
        </w:tc>
        <w:tc>
          <w:tcPr>
            <w:tcW w:w="5761" w:type="dxa"/>
          </w:tcPr>
          <w:p>
            <w:pPr>
              <w:pStyle w:val="19"/>
              <w:spacing w:before="182"/>
              <w:ind w:left="108"/>
              <w:rPr>
                <w:sz w:val="24"/>
              </w:rPr>
            </w:pPr>
            <w:r>
              <w:rPr>
                <w:sz w:val="24"/>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565" w:type="dxa"/>
          </w:tcPr>
          <w:p>
            <w:pPr>
              <w:pStyle w:val="19"/>
              <w:spacing w:before="8"/>
              <w:rPr>
                <w:b/>
                <w:sz w:val="30"/>
              </w:rPr>
            </w:pPr>
          </w:p>
          <w:p>
            <w:pPr>
              <w:pStyle w:val="19"/>
              <w:ind w:right="81"/>
              <w:jc w:val="center"/>
              <w:rPr>
                <w:rFonts w:ascii="Times New Roman"/>
                <w:sz w:val="21"/>
              </w:rPr>
            </w:pPr>
            <w:r>
              <w:rPr>
                <w:rFonts w:ascii="Times New Roman"/>
                <w:w w:val="99"/>
                <w:sz w:val="21"/>
              </w:rPr>
              <w:t>8</w:t>
            </w:r>
          </w:p>
        </w:tc>
        <w:tc>
          <w:tcPr>
            <w:tcW w:w="968" w:type="dxa"/>
          </w:tcPr>
          <w:p>
            <w:pPr>
              <w:pStyle w:val="19"/>
              <w:spacing w:before="3"/>
              <w:rPr>
                <w:b/>
                <w:sz w:val="27"/>
              </w:rPr>
            </w:pPr>
          </w:p>
          <w:p>
            <w:pPr>
              <w:pStyle w:val="19"/>
              <w:ind w:right="339"/>
              <w:jc w:val="right"/>
              <w:rPr>
                <w:sz w:val="24"/>
              </w:rPr>
            </w:pPr>
            <w:r>
              <w:rPr>
                <w:sz w:val="24"/>
              </w:rPr>
              <w:t>8.1</w:t>
            </w:r>
          </w:p>
        </w:tc>
        <w:tc>
          <w:tcPr>
            <w:tcW w:w="2492" w:type="dxa"/>
            <w:gridSpan w:val="2"/>
          </w:tcPr>
          <w:p>
            <w:pPr>
              <w:pStyle w:val="19"/>
              <w:spacing w:before="29" w:line="249" w:lineRule="auto"/>
              <w:ind w:left="119" w:right="200"/>
              <w:jc w:val="center"/>
              <w:rPr>
                <w:sz w:val="24"/>
              </w:rPr>
            </w:pPr>
            <w:r>
              <w:rPr>
                <w:sz w:val="24"/>
              </w:rPr>
              <w:t>投标人提出问题及要求澄清招标文件的截</w:t>
            </w:r>
          </w:p>
          <w:p>
            <w:pPr>
              <w:pStyle w:val="19"/>
              <w:spacing w:before="2" w:line="282" w:lineRule="exact"/>
              <w:ind w:left="119" w:right="200"/>
              <w:jc w:val="center"/>
              <w:rPr>
                <w:sz w:val="24"/>
              </w:rPr>
            </w:pPr>
            <w:r>
              <w:rPr>
                <w:sz w:val="24"/>
              </w:rPr>
              <w:t>止时间</w:t>
            </w:r>
          </w:p>
        </w:tc>
        <w:tc>
          <w:tcPr>
            <w:tcW w:w="5761" w:type="dxa"/>
          </w:tcPr>
          <w:p>
            <w:pPr>
              <w:pStyle w:val="19"/>
              <w:spacing w:before="3"/>
              <w:rPr>
                <w:b/>
                <w:sz w:val="27"/>
              </w:rPr>
            </w:pPr>
          </w:p>
          <w:p>
            <w:pPr>
              <w:pStyle w:val="19"/>
              <w:tabs>
                <w:tab w:val="left" w:pos="2628"/>
              </w:tabs>
              <w:ind w:left="108"/>
              <w:rPr>
                <w:sz w:val="24"/>
              </w:rPr>
            </w:pPr>
            <w:r>
              <w:rPr>
                <w:sz w:val="24"/>
              </w:rPr>
              <w:t>递交投标截止时间</w:t>
            </w:r>
            <w:r>
              <w:rPr>
                <w:sz w:val="24"/>
                <w:u w:val="single"/>
              </w:rPr>
              <w:t xml:space="preserve">  2</w:t>
            </w:r>
            <w:r>
              <w:rPr>
                <w:sz w:val="24"/>
                <w:u w:val="single"/>
              </w:rPr>
              <w:tab/>
            </w:r>
            <w:r>
              <w:rPr>
                <w:sz w:val="24"/>
              </w:rPr>
              <w:t>天前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565" w:type="dxa"/>
          </w:tcPr>
          <w:p>
            <w:pPr>
              <w:pStyle w:val="19"/>
              <w:spacing w:before="7"/>
              <w:rPr>
                <w:b/>
                <w:sz w:val="18"/>
              </w:rPr>
            </w:pPr>
          </w:p>
          <w:p>
            <w:pPr>
              <w:pStyle w:val="19"/>
              <w:ind w:right="81"/>
              <w:jc w:val="center"/>
              <w:rPr>
                <w:rFonts w:ascii="Times New Roman"/>
                <w:sz w:val="21"/>
              </w:rPr>
            </w:pPr>
            <w:r>
              <w:rPr>
                <w:rFonts w:ascii="Times New Roman"/>
                <w:w w:val="99"/>
                <w:sz w:val="21"/>
              </w:rPr>
              <w:t>9</w:t>
            </w:r>
          </w:p>
        </w:tc>
        <w:tc>
          <w:tcPr>
            <w:tcW w:w="968" w:type="dxa"/>
          </w:tcPr>
          <w:p>
            <w:pPr>
              <w:pStyle w:val="19"/>
              <w:spacing w:before="194"/>
              <w:ind w:right="339"/>
              <w:jc w:val="right"/>
              <w:rPr>
                <w:sz w:val="24"/>
              </w:rPr>
            </w:pPr>
            <w:r>
              <w:rPr>
                <w:sz w:val="24"/>
              </w:rPr>
              <w:t>8.2</w:t>
            </w:r>
          </w:p>
        </w:tc>
        <w:tc>
          <w:tcPr>
            <w:tcW w:w="2492" w:type="dxa"/>
            <w:gridSpan w:val="2"/>
          </w:tcPr>
          <w:p>
            <w:pPr>
              <w:pStyle w:val="19"/>
              <w:spacing w:before="20" w:line="320" w:lineRule="atLeast"/>
              <w:ind w:left="479" w:right="200" w:hanging="360"/>
              <w:rPr>
                <w:sz w:val="24"/>
              </w:rPr>
            </w:pPr>
            <w:r>
              <w:rPr>
                <w:sz w:val="24"/>
              </w:rPr>
              <w:t>招标人书面澄清招标文件截止时间</w:t>
            </w:r>
          </w:p>
        </w:tc>
        <w:tc>
          <w:tcPr>
            <w:tcW w:w="5761" w:type="dxa"/>
          </w:tcPr>
          <w:p>
            <w:pPr>
              <w:pStyle w:val="19"/>
              <w:tabs>
                <w:tab w:val="left" w:pos="2628"/>
              </w:tabs>
              <w:spacing w:before="194"/>
              <w:ind w:left="108"/>
              <w:rPr>
                <w:sz w:val="24"/>
              </w:rPr>
            </w:pPr>
            <w:r>
              <w:rPr>
                <w:sz w:val="24"/>
              </w:rPr>
              <w:t>递交投标截止时间</w:t>
            </w:r>
            <w:r>
              <w:rPr>
                <w:sz w:val="24"/>
                <w:u w:val="single"/>
              </w:rPr>
              <w:t xml:space="preserve">  1</w:t>
            </w:r>
            <w:r>
              <w:rPr>
                <w:sz w:val="24"/>
                <w:u w:val="single"/>
              </w:rPr>
              <w:tab/>
            </w:r>
            <w:r>
              <w:rPr>
                <w:sz w:val="24"/>
              </w:rPr>
              <w:t>天前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565" w:type="dxa"/>
          </w:tcPr>
          <w:p>
            <w:pPr>
              <w:pStyle w:val="19"/>
              <w:spacing w:before="4"/>
              <w:rPr>
                <w:b/>
                <w:sz w:val="18"/>
              </w:rPr>
            </w:pPr>
          </w:p>
          <w:p>
            <w:pPr>
              <w:pStyle w:val="19"/>
              <w:ind w:left="112" w:right="193"/>
              <w:jc w:val="center"/>
              <w:rPr>
                <w:rFonts w:ascii="Times New Roman"/>
                <w:sz w:val="21"/>
              </w:rPr>
            </w:pPr>
            <w:r>
              <w:rPr>
                <w:rFonts w:ascii="Times New Roman"/>
                <w:sz w:val="21"/>
              </w:rPr>
              <w:t>10</w:t>
            </w:r>
          </w:p>
        </w:tc>
        <w:tc>
          <w:tcPr>
            <w:tcW w:w="968" w:type="dxa"/>
          </w:tcPr>
          <w:p>
            <w:pPr>
              <w:pStyle w:val="19"/>
              <w:spacing w:before="191"/>
              <w:ind w:right="339"/>
              <w:jc w:val="right"/>
              <w:rPr>
                <w:sz w:val="24"/>
              </w:rPr>
            </w:pPr>
            <w:r>
              <w:rPr>
                <w:sz w:val="24"/>
              </w:rPr>
              <w:t>9.1</w:t>
            </w:r>
          </w:p>
        </w:tc>
        <w:tc>
          <w:tcPr>
            <w:tcW w:w="2492" w:type="dxa"/>
            <w:gridSpan w:val="2"/>
          </w:tcPr>
          <w:p>
            <w:pPr>
              <w:pStyle w:val="19"/>
              <w:spacing w:before="18" w:line="320" w:lineRule="atLeast"/>
              <w:ind w:left="719" w:right="200" w:hanging="600"/>
              <w:rPr>
                <w:sz w:val="24"/>
              </w:rPr>
            </w:pPr>
            <w:r>
              <w:rPr>
                <w:sz w:val="24"/>
              </w:rPr>
              <w:t>招标人修改招标文件截止时间</w:t>
            </w:r>
          </w:p>
        </w:tc>
        <w:tc>
          <w:tcPr>
            <w:tcW w:w="5761" w:type="dxa"/>
          </w:tcPr>
          <w:p>
            <w:pPr>
              <w:pStyle w:val="19"/>
              <w:tabs>
                <w:tab w:val="left" w:pos="2628"/>
              </w:tabs>
              <w:spacing w:before="191"/>
              <w:ind w:left="108"/>
              <w:rPr>
                <w:sz w:val="24"/>
              </w:rPr>
            </w:pPr>
            <w:r>
              <w:rPr>
                <w:sz w:val="24"/>
              </w:rPr>
              <w:t>递交投标截止时间</w:t>
            </w:r>
            <w:r>
              <w:rPr>
                <w:sz w:val="24"/>
                <w:u w:val="single"/>
              </w:rPr>
              <w:t xml:space="preserve">  1</w:t>
            </w:r>
            <w:r>
              <w:rPr>
                <w:sz w:val="24"/>
                <w:u w:val="single"/>
              </w:rPr>
              <w:tab/>
            </w:r>
            <w:r>
              <w:rPr>
                <w:sz w:val="24"/>
              </w:rPr>
              <w:t>天前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565" w:type="dxa"/>
          </w:tcPr>
          <w:p>
            <w:pPr>
              <w:pStyle w:val="19"/>
              <w:spacing w:before="1"/>
              <w:rPr>
                <w:b/>
                <w:sz w:val="18"/>
              </w:rPr>
            </w:pPr>
          </w:p>
          <w:p>
            <w:pPr>
              <w:pStyle w:val="19"/>
              <w:ind w:left="112" w:right="193"/>
              <w:jc w:val="center"/>
              <w:rPr>
                <w:rFonts w:ascii="Times New Roman"/>
                <w:sz w:val="21"/>
              </w:rPr>
            </w:pPr>
            <w:r>
              <w:rPr>
                <w:rFonts w:ascii="Times New Roman"/>
                <w:sz w:val="21"/>
              </w:rPr>
              <w:t>11</w:t>
            </w:r>
          </w:p>
        </w:tc>
        <w:tc>
          <w:tcPr>
            <w:tcW w:w="968" w:type="dxa"/>
          </w:tcPr>
          <w:p>
            <w:pPr>
              <w:pStyle w:val="19"/>
              <w:spacing w:before="190"/>
              <w:ind w:right="279"/>
              <w:jc w:val="right"/>
              <w:rPr>
                <w:sz w:val="24"/>
              </w:rPr>
            </w:pPr>
            <w:r>
              <w:rPr>
                <w:sz w:val="24"/>
              </w:rPr>
              <w:t>11.3</w:t>
            </w:r>
          </w:p>
        </w:tc>
        <w:tc>
          <w:tcPr>
            <w:tcW w:w="2492" w:type="dxa"/>
            <w:gridSpan w:val="2"/>
          </w:tcPr>
          <w:p>
            <w:pPr>
              <w:pStyle w:val="19"/>
              <w:spacing w:before="17" w:line="320" w:lineRule="atLeast"/>
              <w:ind w:left="1079" w:right="200" w:hanging="960"/>
              <w:rPr>
                <w:sz w:val="24"/>
              </w:rPr>
            </w:pPr>
            <w:r>
              <w:rPr>
                <w:color w:val="FF0000"/>
                <w:sz w:val="24"/>
              </w:rPr>
              <w:t>有效投标报价浮动范围</w:t>
            </w:r>
          </w:p>
        </w:tc>
        <w:tc>
          <w:tcPr>
            <w:tcW w:w="5761" w:type="dxa"/>
          </w:tcPr>
          <w:p>
            <w:pPr>
              <w:pStyle w:val="19"/>
              <w:spacing w:before="190"/>
              <w:ind w:left="108"/>
              <w:rPr>
                <w:sz w:val="24"/>
              </w:rPr>
            </w:pPr>
            <w:r>
              <w:rPr>
                <w:sz w:val="24"/>
              </w:rPr>
              <w:t>监理服务收费基准价的80%-88%（包括80%、88%）</w:t>
            </w:r>
          </w:p>
        </w:tc>
      </w:tr>
    </w:tbl>
    <w:p>
      <w:pPr>
        <w:spacing w:after="0"/>
        <w:rPr>
          <w:sz w:val="24"/>
        </w:rPr>
        <w:sectPr>
          <w:pgSz w:w="11910" w:h="16840"/>
          <w:pgMar w:top="1580" w:right="360" w:bottom="1300" w:left="760" w:header="0" w:footer="1029" w:gutter="0"/>
        </w:sectPr>
      </w:pPr>
    </w:p>
    <w:p>
      <w:pPr>
        <w:pStyle w:val="11"/>
        <w:rPr>
          <w:b/>
          <w:sz w:val="20"/>
        </w:rPr>
      </w:pPr>
    </w:p>
    <w:p>
      <w:pPr>
        <w:pStyle w:val="11"/>
        <w:rPr>
          <w:b/>
          <w:sz w:val="19"/>
        </w:rPr>
      </w:pPr>
    </w:p>
    <w:tbl>
      <w:tblPr>
        <w:tblStyle w:val="12"/>
        <w:tblW w:w="0" w:type="auto"/>
        <w:tblInd w:w="4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968"/>
        <w:gridCol w:w="2492"/>
        <w:gridCol w:w="5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565" w:type="dxa"/>
          </w:tcPr>
          <w:p>
            <w:pPr>
              <w:pStyle w:val="19"/>
              <w:spacing w:before="21" w:line="320" w:lineRule="atLeast"/>
              <w:ind w:left="113" w:right="199"/>
              <w:rPr>
                <w:b/>
                <w:sz w:val="24"/>
              </w:rPr>
            </w:pPr>
            <w:r>
              <w:rPr>
                <w:b/>
                <w:sz w:val="24"/>
              </w:rPr>
              <w:t>项号</w:t>
            </w:r>
          </w:p>
        </w:tc>
        <w:tc>
          <w:tcPr>
            <w:tcW w:w="968" w:type="dxa"/>
          </w:tcPr>
          <w:p>
            <w:pPr>
              <w:pStyle w:val="19"/>
              <w:spacing w:before="21" w:line="320" w:lineRule="atLeast"/>
              <w:ind w:left="316" w:right="279" w:hanging="120"/>
              <w:rPr>
                <w:b/>
                <w:sz w:val="24"/>
              </w:rPr>
            </w:pPr>
            <w:r>
              <w:rPr>
                <w:b/>
                <w:sz w:val="24"/>
              </w:rPr>
              <w:t>条款号</w:t>
            </w:r>
          </w:p>
        </w:tc>
        <w:tc>
          <w:tcPr>
            <w:tcW w:w="2492" w:type="dxa"/>
          </w:tcPr>
          <w:p>
            <w:pPr>
              <w:pStyle w:val="19"/>
              <w:spacing w:before="194"/>
              <w:ind w:left="119" w:right="198"/>
              <w:jc w:val="center"/>
              <w:rPr>
                <w:b/>
                <w:sz w:val="24"/>
              </w:rPr>
            </w:pPr>
            <w:r>
              <w:rPr>
                <w:b/>
                <w:sz w:val="24"/>
              </w:rPr>
              <w:t>条款名称</w:t>
            </w:r>
          </w:p>
        </w:tc>
        <w:tc>
          <w:tcPr>
            <w:tcW w:w="5597" w:type="dxa"/>
          </w:tcPr>
          <w:p>
            <w:pPr>
              <w:pStyle w:val="19"/>
              <w:spacing w:before="194"/>
              <w:ind w:left="2208" w:right="2288"/>
              <w:jc w:val="center"/>
              <w:rPr>
                <w:b/>
                <w:sz w:val="24"/>
              </w:rPr>
            </w:pPr>
            <w:r>
              <w:rPr>
                <w:b/>
                <w:sz w:val="24"/>
              </w:rPr>
              <w:t>编制内容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65" w:type="dxa"/>
          </w:tcPr>
          <w:p>
            <w:pPr>
              <w:pStyle w:val="19"/>
              <w:spacing w:before="105"/>
              <w:ind w:left="112" w:right="193"/>
              <w:jc w:val="center"/>
              <w:rPr>
                <w:rFonts w:ascii="Times New Roman"/>
                <w:sz w:val="21"/>
              </w:rPr>
            </w:pPr>
            <w:r>
              <w:rPr>
                <w:rFonts w:ascii="Times New Roman"/>
                <w:sz w:val="21"/>
              </w:rPr>
              <w:t>12</w:t>
            </w:r>
          </w:p>
        </w:tc>
        <w:tc>
          <w:tcPr>
            <w:tcW w:w="968" w:type="dxa"/>
          </w:tcPr>
          <w:p>
            <w:pPr>
              <w:pStyle w:val="19"/>
              <w:spacing w:before="105"/>
              <w:ind w:right="335"/>
              <w:jc w:val="right"/>
              <w:rPr>
                <w:rFonts w:ascii="Times New Roman"/>
                <w:sz w:val="21"/>
              </w:rPr>
            </w:pPr>
            <w:r>
              <w:rPr>
                <w:rFonts w:ascii="Times New Roman"/>
                <w:sz w:val="21"/>
              </w:rPr>
              <w:t>15.1</w:t>
            </w:r>
          </w:p>
        </w:tc>
        <w:tc>
          <w:tcPr>
            <w:tcW w:w="2492" w:type="dxa"/>
          </w:tcPr>
          <w:p>
            <w:pPr>
              <w:pStyle w:val="19"/>
              <w:spacing w:before="63"/>
              <w:ind w:left="119" w:right="200"/>
              <w:jc w:val="center"/>
              <w:rPr>
                <w:sz w:val="24"/>
              </w:rPr>
            </w:pPr>
            <w:r>
              <w:rPr>
                <w:sz w:val="24"/>
              </w:rPr>
              <w:t>投标有效期</w:t>
            </w:r>
          </w:p>
        </w:tc>
        <w:tc>
          <w:tcPr>
            <w:tcW w:w="5597" w:type="dxa"/>
          </w:tcPr>
          <w:p>
            <w:pPr>
              <w:pStyle w:val="19"/>
              <w:spacing w:before="63"/>
              <w:ind w:left="108"/>
              <w:rPr>
                <w:sz w:val="24"/>
              </w:rPr>
            </w:pPr>
            <w:r>
              <w:rPr>
                <w:sz w:val="24"/>
                <w:u w:val="single"/>
              </w:rPr>
              <w:t>90</w:t>
            </w:r>
            <w:r>
              <w:rPr>
                <w:sz w:val="24"/>
              </w:rPr>
              <w:t>天（从递交投标文件截止时间之日起算）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4" w:hRule="atLeast"/>
        </w:trPr>
        <w:tc>
          <w:tcPr>
            <w:tcW w:w="565" w:type="dxa"/>
          </w:tcPr>
          <w:p>
            <w:pPr>
              <w:pStyle w:val="19"/>
              <w:rPr>
                <w:b/>
                <w:sz w:val="22"/>
              </w:rPr>
            </w:pPr>
          </w:p>
          <w:p>
            <w:pPr>
              <w:pStyle w:val="19"/>
              <w:rPr>
                <w:b/>
                <w:sz w:val="22"/>
              </w:rPr>
            </w:pPr>
          </w:p>
          <w:p>
            <w:pPr>
              <w:pStyle w:val="19"/>
              <w:rPr>
                <w:b/>
                <w:sz w:val="22"/>
              </w:rPr>
            </w:pPr>
          </w:p>
          <w:p>
            <w:pPr>
              <w:pStyle w:val="19"/>
              <w:rPr>
                <w:b/>
                <w:sz w:val="22"/>
              </w:rPr>
            </w:pPr>
          </w:p>
          <w:p>
            <w:pPr>
              <w:pStyle w:val="19"/>
              <w:rPr>
                <w:b/>
                <w:sz w:val="22"/>
              </w:rPr>
            </w:pPr>
          </w:p>
          <w:p>
            <w:pPr>
              <w:pStyle w:val="19"/>
              <w:rPr>
                <w:b/>
                <w:sz w:val="22"/>
              </w:rPr>
            </w:pPr>
          </w:p>
          <w:p>
            <w:pPr>
              <w:pStyle w:val="19"/>
              <w:rPr>
                <w:b/>
                <w:sz w:val="22"/>
              </w:rPr>
            </w:pPr>
          </w:p>
          <w:p>
            <w:pPr>
              <w:pStyle w:val="19"/>
              <w:rPr>
                <w:b/>
                <w:sz w:val="22"/>
              </w:rPr>
            </w:pPr>
          </w:p>
          <w:p>
            <w:pPr>
              <w:pStyle w:val="19"/>
              <w:rPr>
                <w:b/>
                <w:sz w:val="22"/>
              </w:rPr>
            </w:pPr>
          </w:p>
          <w:p>
            <w:pPr>
              <w:pStyle w:val="19"/>
              <w:spacing w:before="185"/>
              <w:ind w:left="112" w:right="193"/>
              <w:jc w:val="center"/>
              <w:rPr>
                <w:rFonts w:ascii="Times New Roman"/>
                <w:sz w:val="21"/>
              </w:rPr>
            </w:pPr>
            <w:r>
              <w:rPr>
                <w:rFonts w:ascii="Times New Roman"/>
                <w:sz w:val="21"/>
              </w:rPr>
              <w:t>13</w:t>
            </w:r>
          </w:p>
        </w:tc>
        <w:tc>
          <w:tcPr>
            <w:tcW w:w="968" w:type="dxa"/>
          </w:tcPr>
          <w:p>
            <w:pPr>
              <w:pStyle w:val="19"/>
              <w:rPr>
                <w:b/>
                <w:sz w:val="24"/>
              </w:rPr>
            </w:pPr>
          </w:p>
          <w:p>
            <w:pPr>
              <w:pStyle w:val="19"/>
              <w:rPr>
                <w:b/>
                <w:sz w:val="24"/>
              </w:rPr>
            </w:pPr>
          </w:p>
          <w:p>
            <w:pPr>
              <w:pStyle w:val="19"/>
              <w:rPr>
                <w:b/>
                <w:sz w:val="24"/>
              </w:rPr>
            </w:pPr>
          </w:p>
          <w:p>
            <w:pPr>
              <w:pStyle w:val="19"/>
              <w:rPr>
                <w:b/>
                <w:sz w:val="24"/>
              </w:rPr>
            </w:pPr>
          </w:p>
          <w:p>
            <w:pPr>
              <w:pStyle w:val="19"/>
              <w:rPr>
                <w:b/>
                <w:sz w:val="24"/>
              </w:rPr>
            </w:pPr>
          </w:p>
          <w:p>
            <w:pPr>
              <w:pStyle w:val="19"/>
              <w:rPr>
                <w:b/>
                <w:sz w:val="24"/>
              </w:rPr>
            </w:pPr>
          </w:p>
          <w:p>
            <w:pPr>
              <w:pStyle w:val="19"/>
              <w:rPr>
                <w:b/>
                <w:sz w:val="24"/>
              </w:rPr>
            </w:pPr>
          </w:p>
          <w:p>
            <w:pPr>
              <w:pStyle w:val="19"/>
              <w:rPr>
                <w:b/>
                <w:sz w:val="24"/>
              </w:rPr>
            </w:pPr>
          </w:p>
          <w:p>
            <w:pPr>
              <w:pStyle w:val="19"/>
              <w:spacing w:before="2"/>
              <w:rPr>
                <w:b/>
                <w:sz w:val="17"/>
              </w:rPr>
            </w:pPr>
          </w:p>
          <w:p>
            <w:pPr>
              <w:pStyle w:val="19"/>
              <w:ind w:left="316"/>
              <w:rPr>
                <w:sz w:val="24"/>
              </w:rPr>
            </w:pPr>
            <w:r>
              <w:rPr>
                <w:sz w:val="24"/>
              </w:rPr>
              <w:t>16</w:t>
            </w:r>
          </w:p>
        </w:tc>
        <w:tc>
          <w:tcPr>
            <w:tcW w:w="2492" w:type="dxa"/>
          </w:tcPr>
          <w:p>
            <w:pPr>
              <w:pStyle w:val="19"/>
              <w:rPr>
                <w:b/>
                <w:sz w:val="24"/>
              </w:rPr>
            </w:pPr>
          </w:p>
          <w:p>
            <w:pPr>
              <w:pStyle w:val="19"/>
              <w:rPr>
                <w:b/>
                <w:sz w:val="24"/>
              </w:rPr>
            </w:pPr>
          </w:p>
          <w:p>
            <w:pPr>
              <w:pStyle w:val="19"/>
              <w:rPr>
                <w:b/>
                <w:sz w:val="24"/>
              </w:rPr>
            </w:pPr>
          </w:p>
          <w:p>
            <w:pPr>
              <w:pStyle w:val="19"/>
              <w:rPr>
                <w:b/>
                <w:sz w:val="24"/>
              </w:rPr>
            </w:pPr>
          </w:p>
          <w:p>
            <w:pPr>
              <w:pStyle w:val="19"/>
              <w:rPr>
                <w:b/>
                <w:sz w:val="24"/>
              </w:rPr>
            </w:pPr>
          </w:p>
          <w:p>
            <w:pPr>
              <w:pStyle w:val="19"/>
              <w:rPr>
                <w:b/>
                <w:sz w:val="24"/>
              </w:rPr>
            </w:pPr>
          </w:p>
          <w:p>
            <w:pPr>
              <w:pStyle w:val="19"/>
              <w:rPr>
                <w:b/>
                <w:sz w:val="24"/>
              </w:rPr>
            </w:pPr>
          </w:p>
          <w:p>
            <w:pPr>
              <w:pStyle w:val="19"/>
              <w:rPr>
                <w:b/>
                <w:sz w:val="24"/>
              </w:rPr>
            </w:pPr>
          </w:p>
          <w:p>
            <w:pPr>
              <w:pStyle w:val="19"/>
              <w:spacing w:before="2"/>
              <w:rPr>
                <w:b/>
                <w:sz w:val="17"/>
              </w:rPr>
            </w:pPr>
          </w:p>
          <w:p>
            <w:pPr>
              <w:pStyle w:val="19"/>
              <w:ind w:left="119" w:right="200"/>
              <w:jc w:val="center"/>
              <w:rPr>
                <w:sz w:val="24"/>
              </w:rPr>
            </w:pPr>
            <w:r>
              <w:rPr>
                <w:sz w:val="24"/>
              </w:rPr>
              <w:t>投标保证金</w:t>
            </w:r>
          </w:p>
        </w:tc>
        <w:tc>
          <w:tcPr>
            <w:tcW w:w="5597" w:type="dxa"/>
          </w:tcPr>
          <w:p>
            <w:pPr>
              <w:pStyle w:val="19"/>
              <w:spacing w:before="46"/>
              <w:ind w:left="108"/>
              <w:rPr>
                <w:b/>
                <w:sz w:val="21"/>
              </w:rPr>
            </w:pPr>
            <w:r>
              <w:rPr>
                <w:b/>
                <w:sz w:val="21"/>
              </w:rPr>
              <w:t>投标保证金的金额：</w:t>
            </w:r>
            <w:r>
              <w:rPr>
                <w:rFonts w:hint="eastAsia"/>
                <w:b/>
                <w:sz w:val="21"/>
                <w:lang w:val="en-US" w:eastAsia="zh-CN"/>
              </w:rPr>
              <w:t>壹万柒仟</w:t>
            </w:r>
            <w:r>
              <w:rPr>
                <w:b/>
                <w:sz w:val="21"/>
              </w:rPr>
              <w:t>元整</w:t>
            </w:r>
          </w:p>
          <w:p>
            <w:pPr>
              <w:pStyle w:val="19"/>
              <w:spacing w:before="50" w:line="288" w:lineRule="auto"/>
              <w:ind w:left="108" w:right="76"/>
              <w:rPr>
                <w:b/>
                <w:sz w:val="21"/>
              </w:rPr>
            </w:pPr>
            <w:r>
              <w:rPr>
                <w:b/>
                <w:w w:val="95"/>
                <w:sz w:val="21"/>
              </w:rPr>
              <w:t>投标保证金的形式：银行保函、保险公司保</w:t>
            </w:r>
            <w:r>
              <w:rPr>
                <w:b/>
                <w:sz w:val="21"/>
              </w:rPr>
              <w:t>单</w:t>
            </w:r>
            <w:r>
              <w:rPr>
                <w:rFonts w:hint="eastAsia"/>
                <w:b/>
                <w:sz w:val="21"/>
                <w:lang w:eastAsia="zh-CN"/>
              </w:rPr>
              <w:t>、</w:t>
            </w:r>
            <w:r>
              <w:rPr>
                <w:b/>
                <w:w w:val="95"/>
                <w:sz w:val="21"/>
              </w:rPr>
              <w:t>电汇或转账</w:t>
            </w:r>
          </w:p>
          <w:p>
            <w:pPr>
              <w:pStyle w:val="19"/>
              <w:spacing w:before="12"/>
              <w:ind w:left="108"/>
              <w:rPr>
                <w:b/>
                <w:sz w:val="21"/>
              </w:rPr>
            </w:pPr>
            <w:r>
              <w:rPr>
                <w:b/>
                <w:sz w:val="21"/>
              </w:rPr>
              <w:t>采用现金形式：</w:t>
            </w:r>
          </w:p>
          <w:p>
            <w:pPr>
              <w:keepNext w:val="0"/>
              <w:keepLines w:val="0"/>
              <w:widowControl/>
              <w:suppressLineNumbers w:val="0"/>
              <w:ind w:firstLine="209" w:firstLineChars="100"/>
              <w:jc w:val="left"/>
              <w:rPr>
                <w:rFonts w:hint="eastAsia"/>
                <w:b/>
                <w:spacing w:val="-1"/>
                <w:sz w:val="21"/>
                <w:lang w:val="en-US" w:eastAsia="zh-CN"/>
              </w:rPr>
            </w:pPr>
            <w:r>
              <w:rPr>
                <w:b/>
                <w:spacing w:val="-1"/>
                <w:sz w:val="21"/>
              </w:rPr>
              <w:t>账户名称：</w:t>
            </w:r>
            <w:r>
              <w:rPr>
                <w:rFonts w:hint="eastAsia"/>
                <w:b/>
                <w:spacing w:val="-1"/>
                <w:sz w:val="21"/>
                <w:lang w:val="en-US" w:eastAsia="zh-CN"/>
              </w:rPr>
              <w:t xml:space="preserve"> </w:t>
            </w:r>
            <w:r>
              <w:rPr>
                <w:rFonts w:hint="eastAsia" w:ascii="宋体" w:hAnsi="宋体" w:eastAsia="宋体" w:cs="宋体"/>
                <w:b/>
                <w:bCs/>
                <w:color w:val="000000"/>
                <w:kern w:val="0"/>
                <w:sz w:val="22"/>
                <w:szCs w:val="22"/>
                <w:lang w:val="en-US" w:eastAsia="zh-CN" w:bidi="ar"/>
              </w:rPr>
              <w:t>温岭市新河镇人民政府投标保证金专户</w:t>
            </w:r>
          </w:p>
          <w:p>
            <w:pPr>
              <w:keepNext w:val="0"/>
              <w:keepLines w:val="0"/>
              <w:widowControl/>
              <w:suppressLineNumbers w:val="0"/>
              <w:ind w:firstLine="211" w:firstLineChars="100"/>
              <w:jc w:val="left"/>
              <w:rPr>
                <w:b/>
                <w:bCs w:val="0"/>
              </w:rPr>
            </w:pPr>
            <w:r>
              <w:rPr>
                <w:b/>
                <w:sz w:val="21"/>
              </w:rPr>
              <w:t>开户银行：</w:t>
            </w:r>
            <w:r>
              <w:rPr>
                <w:rFonts w:hint="eastAsia"/>
                <w:b/>
                <w:bCs w:val="0"/>
                <w:sz w:val="21"/>
                <w:lang w:val="en-US" w:eastAsia="zh-CN"/>
              </w:rPr>
              <w:t xml:space="preserve"> </w:t>
            </w:r>
            <w:r>
              <w:rPr>
                <w:rFonts w:hint="eastAsia" w:ascii="宋体" w:hAnsi="宋体" w:eastAsia="宋体" w:cs="宋体"/>
                <w:b/>
                <w:bCs w:val="0"/>
                <w:color w:val="000000"/>
                <w:kern w:val="0"/>
                <w:sz w:val="22"/>
                <w:szCs w:val="22"/>
                <w:lang w:val="en-US" w:eastAsia="zh-CN" w:bidi="ar"/>
              </w:rPr>
              <w:t xml:space="preserve">浙江温岭农村商业银行股份有限公司新河 </w:t>
            </w:r>
          </w:p>
          <w:p>
            <w:pPr>
              <w:keepNext w:val="0"/>
              <w:keepLines w:val="0"/>
              <w:widowControl/>
              <w:suppressLineNumbers w:val="0"/>
              <w:ind w:firstLine="221" w:firstLineChars="100"/>
              <w:jc w:val="left"/>
              <w:rPr>
                <w:b/>
                <w:bCs w:val="0"/>
              </w:rPr>
            </w:pPr>
            <w:r>
              <w:rPr>
                <w:rFonts w:hint="eastAsia" w:ascii="宋体" w:hAnsi="宋体" w:eastAsia="宋体" w:cs="宋体"/>
                <w:b/>
                <w:bCs w:val="0"/>
                <w:color w:val="000000"/>
                <w:kern w:val="0"/>
                <w:sz w:val="22"/>
                <w:szCs w:val="22"/>
                <w:lang w:val="en-US" w:eastAsia="zh-CN" w:bidi="ar"/>
              </w:rPr>
              <w:t>支行</w:t>
            </w:r>
          </w:p>
          <w:p>
            <w:pPr>
              <w:pStyle w:val="19"/>
              <w:spacing w:before="67" w:line="300" w:lineRule="auto"/>
              <w:ind w:right="2440" w:firstLine="211" w:firstLineChars="100"/>
              <w:rPr>
                <w:rFonts w:hint="eastAsia" w:ascii="Times New Roman" w:eastAsia="宋体"/>
                <w:b/>
                <w:sz w:val="21"/>
                <w:lang w:eastAsia="zh-CN"/>
              </w:rPr>
            </w:pPr>
            <w:r>
              <w:rPr>
                <w:b/>
                <w:sz w:val="21"/>
              </w:rPr>
              <w:t>银行账号：</w:t>
            </w:r>
            <w:r>
              <w:rPr>
                <w:rFonts w:hint="eastAsia" w:ascii="Times New Roman"/>
                <w:b/>
                <w:sz w:val="21"/>
                <w:lang w:val="en-US" w:eastAsia="zh-CN"/>
              </w:rPr>
              <w:t xml:space="preserve"> 201000208730425</w:t>
            </w:r>
          </w:p>
          <w:p>
            <w:pPr>
              <w:pStyle w:val="19"/>
              <w:spacing w:before="4" w:line="285" w:lineRule="auto"/>
              <w:ind w:right="1" w:firstLine="207" w:firstLineChars="100"/>
              <w:rPr>
                <w:b/>
                <w:sz w:val="21"/>
              </w:rPr>
            </w:pPr>
            <w:r>
              <w:rPr>
                <w:b/>
                <w:spacing w:val="-2"/>
                <w:sz w:val="21"/>
              </w:rPr>
              <w:t>投标保证金的到账截止时间：</w:t>
            </w:r>
            <w:r>
              <w:rPr>
                <w:rFonts w:ascii="Times New Roman" w:eastAsia="Times New Roman"/>
                <w:b/>
                <w:sz w:val="21"/>
              </w:rPr>
              <w:t xml:space="preserve">2020 </w:t>
            </w:r>
            <w:r>
              <w:rPr>
                <w:b/>
                <w:spacing w:val="-26"/>
                <w:sz w:val="21"/>
              </w:rPr>
              <w:t>年</w:t>
            </w:r>
            <w:r>
              <w:rPr>
                <w:rFonts w:hint="eastAsia"/>
                <w:b/>
                <w:spacing w:val="-26"/>
                <w:sz w:val="21"/>
                <w:lang w:val="en-US" w:eastAsia="zh-CN"/>
              </w:rPr>
              <w:t xml:space="preserve"> 8</w:t>
            </w:r>
            <w:r>
              <w:rPr>
                <w:b/>
                <w:spacing w:val="-26"/>
                <w:sz w:val="21"/>
              </w:rPr>
              <w:t>月</w:t>
            </w:r>
            <w:r>
              <w:rPr>
                <w:rFonts w:hint="eastAsia"/>
                <w:b/>
                <w:spacing w:val="-26"/>
                <w:sz w:val="21"/>
                <w:lang w:val="en-US" w:eastAsia="zh-CN"/>
              </w:rPr>
              <w:t xml:space="preserve"> 3 </w:t>
            </w:r>
            <w:r>
              <w:rPr>
                <w:b/>
                <w:spacing w:val="-27"/>
                <w:sz w:val="21"/>
              </w:rPr>
              <w:t xml:space="preserve">日 </w:t>
            </w:r>
            <w:r>
              <w:rPr>
                <w:rFonts w:ascii="Times New Roman" w:eastAsia="Times New Roman"/>
                <w:b/>
                <w:spacing w:val="-4"/>
                <w:sz w:val="21"/>
              </w:rPr>
              <w:t>12</w:t>
            </w:r>
            <w:r>
              <w:rPr>
                <w:b/>
                <w:spacing w:val="-4"/>
                <w:sz w:val="21"/>
              </w:rPr>
              <w:t>：</w:t>
            </w:r>
            <w:r>
              <w:rPr>
                <w:rFonts w:ascii="Times New Roman" w:eastAsia="Times New Roman"/>
                <w:b/>
                <w:spacing w:val="-4"/>
                <w:sz w:val="21"/>
              </w:rPr>
              <w:t xml:space="preserve">00 </w:t>
            </w:r>
            <w:r>
              <w:rPr>
                <w:b/>
                <w:spacing w:val="-12"/>
                <w:sz w:val="21"/>
              </w:rPr>
              <w:t>时</w:t>
            </w:r>
            <w:r>
              <w:rPr>
                <w:b/>
                <w:sz w:val="21"/>
              </w:rPr>
              <w:t>整</w:t>
            </w:r>
          </w:p>
          <w:p>
            <w:pPr>
              <w:keepNext w:val="0"/>
              <w:keepLines w:val="0"/>
              <w:widowControl/>
              <w:suppressLineNumbers w:val="0"/>
              <w:ind w:left="207" w:leftChars="94" w:firstLine="0" w:firstLineChars="0"/>
              <w:jc w:val="left"/>
            </w:pPr>
            <w:r>
              <w:rPr>
                <w:rFonts w:hint="eastAsia" w:ascii="宋体" w:hAnsi="宋体" w:eastAsia="宋体" w:cs="宋体"/>
                <w:b/>
                <w:color w:val="000000"/>
                <w:kern w:val="0"/>
                <w:sz w:val="20"/>
                <w:szCs w:val="20"/>
                <w:lang w:val="en-US" w:eastAsia="zh-CN" w:bidi="ar"/>
              </w:rPr>
              <w:t>电汇或转账时需在用途栏中注明“XH010201地块监理”保证金必须从企业基本账户汇出（或转出）。</w:t>
            </w:r>
          </w:p>
          <w:p>
            <w:pPr>
              <w:pStyle w:val="19"/>
              <w:spacing w:before="14" w:line="300" w:lineRule="auto"/>
              <w:ind w:right="966"/>
              <w:rPr>
                <w:b/>
                <w:sz w:val="21"/>
              </w:rPr>
            </w:pPr>
            <w:r>
              <w:rPr>
                <w:b/>
                <w:sz w:val="21"/>
              </w:rPr>
              <w:t xml:space="preserve">  </w:t>
            </w:r>
            <w:r>
              <w:rPr>
                <w:rFonts w:ascii="Times New Roman" w:hAnsi="Times New Roman" w:eastAsia="Times New Roman"/>
                <w:b/>
                <w:sz w:val="21"/>
              </w:rPr>
              <w:t>2</w:t>
            </w:r>
            <w:r>
              <w:rPr>
                <w:b/>
                <w:sz w:val="21"/>
              </w:rPr>
              <w:t>、采用银行保函或者保险公司保单形式：</w:t>
            </w:r>
          </w:p>
          <w:p>
            <w:pPr>
              <w:pStyle w:val="19"/>
              <w:spacing w:before="4" w:line="292" w:lineRule="auto"/>
              <w:ind w:left="108" w:right="-15"/>
              <w:jc w:val="both"/>
              <w:rPr>
                <w:b/>
                <w:sz w:val="21"/>
              </w:rPr>
            </w:pPr>
            <w:r>
              <w:rPr>
                <w:b/>
                <w:spacing w:val="-3"/>
                <w:sz w:val="21"/>
              </w:rPr>
              <w:t xml:space="preserve">有效期：从提交投标文件截止时间之日起不得少于 </w:t>
            </w:r>
            <w:r>
              <w:rPr>
                <w:rFonts w:ascii="Times New Roman" w:hAnsi="Times New Roman" w:eastAsia="Times New Roman"/>
                <w:b/>
                <w:sz w:val="21"/>
              </w:rPr>
              <w:t>90</w:t>
            </w:r>
            <w:r>
              <w:rPr>
                <w:rFonts w:ascii="Times New Roman" w:hAnsi="Times New Roman" w:eastAsia="Times New Roman"/>
                <w:b/>
                <w:spacing w:val="-5"/>
                <w:sz w:val="21"/>
              </w:rPr>
              <w:t xml:space="preserve"> </w:t>
            </w:r>
            <w:r>
              <w:rPr>
                <w:b/>
                <w:sz w:val="21"/>
              </w:rPr>
              <w:t>日。</w:t>
            </w:r>
            <w:r>
              <w:rPr>
                <w:b/>
                <w:spacing w:val="6"/>
                <w:w w:val="95"/>
                <w:sz w:val="21"/>
              </w:rPr>
              <w:t>银行保函或者保险担保中招标人可提起索赔的内容必须至</w:t>
            </w:r>
            <w:r>
              <w:rPr>
                <w:b/>
                <w:sz w:val="21"/>
              </w:rPr>
              <w:t xml:space="preserve">少包括“投标人须知 </w:t>
            </w:r>
            <w:r>
              <w:rPr>
                <w:rFonts w:ascii="Times New Roman" w:hAnsi="Times New Roman" w:eastAsia="Times New Roman"/>
                <w:b/>
                <w:sz w:val="21"/>
              </w:rPr>
              <w:t>17.5</w:t>
            </w:r>
            <w:r>
              <w:rPr>
                <w:rFonts w:ascii="Times New Roman" w:hAnsi="Times New Roman" w:eastAsia="Times New Roman"/>
                <w:b/>
                <w:spacing w:val="-1"/>
                <w:sz w:val="21"/>
              </w:rPr>
              <w:t xml:space="preserve"> </w:t>
            </w:r>
            <w:r>
              <w:rPr>
                <w:b/>
                <w:sz w:val="21"/>
              </w:rPr>
              <w:t>条”中所列条款。</w:t>
            </w:r>
          </w:p>
          <w:p>
            <w:pPr>
              <w:pStyle w:val="19"/>
              <w:spacing w:before="9"/>
              <w:ind w:left="108"/>
              <w:rPr>
                <w:b/>
                <w:sz w:val="21"/>
              </w:rPr>
            </w:pPr>
            <w:r>
              <w:rPr>
                <w:b/>
                <w:sz w:val="21"/>
              </w:rPr>
              <w:t>银行保函或者保险公司保单出具的截止日期：</w:t>
            </w:r>
            <w:r>
              <w:rPr>
                <w:rFonts w:ascii="Times New Roman" w:eastAsia="Times New Roman"/>
                <w:b/>
                <w:sz w:val="21"/>
              </w:rPr>
              <w:t>2020</w:t>
            </w:r>
            <w:r>
              <w:rPr>
                <w:b/>
                <w:sz w:val="21"/>
              </w:rPr>
              <w:t>年</w:t>
            </w:r>
            <w:r>
              <w:rPr>
                <w:rFonts w:hint="eastAsia" w:ascii="Times New Roman"/>
                <w:b/>
                <w:sz w:val="21"/>
                <w:lang w:val="en-US" w:eastAsia="zh-CN"/>
              </w:rPr>
              <w:t>8</w:t>
            </w:r>
            <w:r>
              <w:rPr>
                <w:b/>
                <w:sz w:val="21"/>
              </w:rPr>
              <w:t>月</w:t>
            </w:r>
          </w:p>
          <w:p>
            <w:pPr>
              <w:pStyle w:val="19"/>
              <w:spacing w:before="50" w:line="254" w:lineRule="exact"/>
              <w:ind w:left="108"/>
              <w:jc w:val="both"/>
              <w:rPr>
                <w:b/>
                <w:sz w:val="21"/>
              </w:rPr>
            </w:pPr>
            <w:r>
              <w:rPr>
                <w:rFonts w:hint="eastAsia" w:ascii="Times New Roman"/>
                <w:b/>
                <w:sz w:val="21"/>
                <w:lang w:val="en-US" w:eastAsia="zh-CN"/>
              </w:rPr>
              <w:t xml:space="preserve"> 3</w:t>
            </w:r>
            <w:r>
              <w:rPr>
                <w:b/>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565" w:type="dxa"/>
          </w:tcPr>
          <w:p>
            <w:pPr>
              <w:pStyle w:val="19"/>
              <w:spacing w:before="10"/>
              <w:rPr>
                <w:b/>
                <w:sz w:val="29"/>
              </w:rPr>
            </w:pPr>
          </w:p>
          <w:p>
            <w:pPr>
              <w:pStyle w:val="19"/>
              <w:ind w:left="112" w:right="193"/>
              <w:jc w:val="center"/>
              <w:rPr>
                <w:rFonts w:ascii="Times New Roman"/>
                <w:sz w:val="21"/>
              </w:rPr>
            </w:pPr>
            <w:r>
              <w:rPr>
                <w:rFonts w:ascii="Times New Roman"/>
                <w:sz w:val="21"/>
              </w:rPr>
              <w:t>14</w:t>
            </w:r>
          </w:p>
        </w:tc>
        <w:tc>
          <w:tcPr>
            <w:tcW w:w="968" w:type="dxa"/>
          </w:tcPr>
          <w:p>
            <w:pPr>
              <w:pStyle w:val="19"/>
              <w:spacing w:before="7"/>
              <w:rPr>
                <w:b/>
                <w:sz w:val="26"/>
              </w:rPr>
            </w:pPr>
          </w:p>
          <w:p>
            <w:pPr>
              <w:pStyle w:val="19"/>
              <w:ind w:right="279"/>
              <w:jc w:val="right"/>
              <w:rPr>
                <w:sz w:val="24"/>
              </w:rPr>
            </w:pPr>
            <w:r>
              <w:rPr>
                <w:sz w:val="24"/>
              </w:rPr>
              <w:t>17.2</w:t>
            </w:r>
          </w:p>
        </w:tc>
        <w:tc>
          <w:tcPr>
            <w:tcW w:w="2492" w:type="dxa"/>
          </w:tcPr>
          <w:p>
            <w:pPr>
              <w:pStyle w:val="19"/>
              <w:spacing w:before="7"/>
              <w:rPr>
                <w:b/>
                <w:sz w:val="26"/>
              </w:rPr>
            </w:pPr>
          </w:p>
          <w:p>
            <w:pPr>
              <w:pStyle w:val="19"/>
              <w:ind w:left="119" w:right="200"/>
              <w:jc w:val="center"/>
              <w:rPr>
                <w:sz w:val="24"/>
              </w:rPr>
            </w:pPr>
            <w:r>
              <w:rPr>
                <w:sz w:val="24"/>
              </w:rPr>
              <w:t>投标文件份数</w:t>
            </w:r>
          </w:p>
        </w:tc>
        <w:tc>
          <w:tcPr>
            <w:tcW w:w="5597" w:type="dxa"/>
          </w:tcPr>
          <w:p>
            <w:pPr>
              <w:pStyle w:val="19"/>
              <w:spacing w:before="170" w:line="264" w:lineRule="auto"/>
              <w:ind w:left="108" w:right="3950"/>
              <w:rPr>
                <w:sz w:val="24"/>
              </w:rPr>
            </w:pPr>
            <w:r>
              <w:rPr>
                <w:sz w:val="24"/>
              </w:rPr>
              <w:t>商务标壹份</w:t>
            </w:r>
          </w:p>
          <w:p>
            <w:pPr>
              <w:pStyle w:val="19"/>
              <w:spacing w:before="170" w:line="264" w:lineRule="auto"/>
              <w:ind w:left="108" w:right="3950"/>
              <w:rPr>
                <w:sz w:val="24"/>
              </w:rPr>
            </w:pPr>
            <w:r>
              <w:rPr>
                <w:sz w:val="24"/>
              </w:rPr>
              <w:t>资格标壹份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2" w:hRule="atLeast"/>
        </w:trPr>
        <w:tc>
          <w:tcPr>
            <w:tcW w:w="565" w:type="dxa"/>
          </w:tcPr>
          <w:p>
            <w:pPr>
              <w:pStyle w:val="19"/>
              <w:rPr>
                <w:b/>
                <w:sz w:val="22"/>
              </w:rPr>
            </w:pPr>
          </w:p>
          <w:p>
            <w:pPr>
              <w:pStyle w:val="19"/>
              <w:spacing w:before="12"/>
              <w:rPr>
                <w:b/>
                <w:sz w:val="18"/>
              </w:rPr>
            </w:pPr>
          </w:p>
          <w:p>
            <w:pPr>
              <w:pStyle w:val="19"/>
              <w:ind w:left="112" w:right="193"/>
              <w:jc w:val="center"/>
              <w:rPr>
                <w:rFonts w:ascii="Times New Roman"/>
                <w:sz w:val="21"/>
              </w:rPr>
            </w:pPr>
            <w:r>
              <w:rPr>
                <w:rFonts w:ascii="Times New Roman"/>
                <w:sz w:val="21"/>
              </w:rPr>
              <w:t>15</w:t>
            </w:r>
          </w:p>
        </w:tc>
        <w:tc>
          <w:tcPr>
            <w:tcW w:w="968" w:type="dxa"/>
          </w:tcPr>
          <w:p>
            <w:pPr>
              <w:pStyle w:val="19"/>
              <w:rPr>
                <w:b/>
                <w:sz w:val="24"/>
              </w:rPr>
            </w:pPr>
          </w:p>
          <w:p>
            <w:pPr>
              <w:pStyle w:val="19"/>
              <w:spacing w:before="173"/>
              <w:ind w:right="279"/>
              <w:jc w:val="right"/>
              <w:rPr>
                <w:sz w:val="24"/>
              </w:rPr>
            </w:pPr>
            <w:r>
              <w:rPr>
                <w:sz w:val="24"/>
              </w:rPr>
              <w:t>19.1</w:t>
            </w:r>
          </w:p>
        </w:tc>
        <w:tc>
          <w:tcPr>
            <w:tcW w:w="2492" w:type="dxa"/>
          </w:tcPr>
          <w:p>
            <w:pPr>
              <w:pStyle w:val="19"/>
              <w:spacing w:before="12"/>
              <w:rPr>
                <w:b/>
                <w:sz w:val="24"/>
              </w:rPr>
            </w:pPr>
          </w:p>
          <w:p>
            <w:pPr>
              <w:pStyle w:val="19"/>
              <w:spacing w:line="252" w:lineRule="auto"/>
              <w:ind w:left="479" w:right="200" w:hanging="360"/>
              <w:rPr>
                <w:sz w:val="24"/>
              </w:rPr>
            </w:pPr>
            <w:r>
              <w:rPr>
                <w:sz w:val="24"/>
              </w:rPr>
              <w:t>递交投标文件截止时间与递交地点</w:t>
            </w:r>
          </w:p>
        </w:tc>
        <w:tc>
          <w:tcPr>
            <w:tcW w:w="5597" w:type="dxa"/>
          </w:tcPr>
          <w:p>
            <w:pPr>
              <w:pStyle w:val="19"/>
              <w:spacing w:before="5"/>
              <w:rPr>
                <w:b/>
                <w:sz w:val="24"/>
              </w:rPr>
            </w:pPr>
          </w:p>
          <w:p>
            <w:pPr>
              <w:pStyle w:val="19"/>
              <w:spacing w:line="261" w:lineRule="auto"/>
              <w:ind w:left="108" w:right="1497"/>
              <w:rPr>
                <w:rFonts w:hint="eastAsia" w:eastAsia="宋体"/>
                <w:b w:val="0"/>
                <w:bCs/>
                <w:sz w:val="24"/>
                <w:lang w:eastAsia="zh-CN"/>
              </w:rPr>
            </w:pPr>
            <w:r>
              <w:rPr>
                <w:sz w:val="24"/>
              </w:rPr>
              <w:t>截止时间：</w:t>
            </w:r>
            <w:r>
              <w:rPr>
                <w:b w:val="0"/>
                <w:bCs/>
                <w:sz w:val="24"/>
              </w:rPr>
              <w:t>2020年</w:t>
            </w:r>
            <w:r>
              <w:rPr>
                <w:rFonts w:hint="eastAsia"/>
                <w:b w:val="0"/>
                <w:bCs/>
                <w:sz w:val="24"/>
                <w:lang w:val="en-US" w:eastAsia="zh-CN"/>
              </w:rPr>
              <w:t>8</w:t>
            </w:r>
            <w:r>
              <w:rPr>
                <w:b w:val="0"/>
                <w:bCs/>
                <w:sz w:val="24"/>
              </w:rPr>
              <w:t>月</w:t>
            </w:r>
            <w:r>
              <w:rPr>
                <w:rFonts w:hint="eastAsia"/>
                <w:b w:val="0"/>
                <w:bCs/>
                <w:sz w:val="24"/>
                <w:lang w:val="en-US" w:eastAsia="zh-CN"/>
              </w:rPr>
              <w:t>4</w:t>
            </w:r>
            <w:r>
              <w:rPr>
                <w:b w:val="0"/>
                <w:bCs/>
                <w:sz w:val="24"/>
              </w:rPr>
              <w:t>日</w:t>
            </w:r>
            <w:r>
              <w:rPr>
                <w:rFonts w:hint="eastAsia"/>
                <w:b w:val="0"/>
                <w:bCs/>
                <w:sz w:val="24"/>
                <w:lang w:eastAsia="zh-CN"/>
              </w:rPr>
              <w:t>上午</w:t>
            </w:r>
            <w:r>
              <w:rPr>
                <w:rFonts w:hint="eastAsia"/>
                <w:b w:val="0"/>
                <w:bCs/>
                <w:sz w:val="24"/>
                <w:lang w:val="en-US" w:eastAsia="zh-CN"/>
              </w:rPr>
              <w:t>9</w:t>
            </w:r>
            <w:r>
              <w:rPr>
                <w:b w:val="0"/>
                <w:bCs/>
                <w:sz w:val="24"/>
              </w:rPr>
              <w:t>时</w:t>
            </w:r>
            <w:r>
              <w:rPr>
                <w:rFonts w:hint="eastAsia"/>
                <w:b w:val="0"/>
                <w:bCs/>
                <w:sz w:val="24"/>
                <w:lang w:eastAsia="zh-CN"/>
              </w:rPr>
              <w:t>整</w:t>
            </w:r>
          </w:p>
          <w:p>
            <w:pPr>
              <w:pStyle w:val="19"/>
              <w:spacing w:line="261" w:lineRule="auto"/>
              <w:ind w:left="108" w:right="1497"/>
              <w:rPr>
                <w:sz w:val="24"/>
              </w:rPr>
            </w:pPr>
            <w:r>
              <w:rPr>
                <w:rFonts w:hint="eastAsia"/>
                <w:b w:val="0"/>
                <w:bCs/>
                <w:sz w:val="24"/>
                <w:lang w:eastAsia="zh-CN"/>
              </w:rPr>
              <w:t>递交</w:t>
            </w:r>
            <w:r>
              <w:rPr>
                <w:rFonts w:hint="eastAsia"/>
                <w:sz w:val="24"/>
                <w:lang w:eastAsia="zh-CN"/>
              </w:rPr>
              <w:t>地</w:t>
            </w:r>
            <w:r>
              <w:rPr>
                <w:sz w:val="24"/>
              </w:rPr>
              <w:t>点：</w:t>
            </w:r>
            <w:r>
              <w:rPr>
                <w:rFonts w:hint="eastAsia"/>
                <w:sz w:val="24"/>
                <w:lang w:val="en-US" w:eastAsia="zh-CN"/>
              </w:rPr>
              <w:t>温岭市新河镇人民政府三楼南会议室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565" w:type="dxa"/>
          </w:tcPr>
          <w:p>
            <w:pPr>
              <w:pStyle w:val="19"/>
              <w:spacing w:before="10"/>
              <w:rPr>
                <w:b/>
                <w:sz w:val="29"/>
              </w:rPr>
            </w:pPr>
          </w:p>
          <w:p>
            <w:pPr>
              <w:pStyle w:val="19"/>
              <w:ind w:left="112" w:right="193"/>
              <w:jc w:val="center"/>
              <w:rPr>
                <w:rFonts w:ascii="Times New Roman"/>
                <w:sz w:val="21"/>
              </w:rPr>
            </w:pPr>
            <w:r>
              <w:rPr>
                <w:rFonts w:ascii="Times New Roman"/>
                <w:sz w:val="21"/>
              </w:rPr>
              <w:t>16</w:t>
            </w:r>
          </w:p>
        </w:tc>
        <w:tc>
          <w:tcPr>
            <w:tcW w:w="968" w:type="dxa"/>
          </w:tcPr>
          <w:p>
            <w:pPr>
              <w:pStyle w:val="19"/>
              <w:spacing w:before="7"/>
              <w:rPr>
                <w:b/>
                <w:sz w:val="26"/>
              </w:rPr>
            </w:pPr>
          </w:p>
          <w:p>
            <w:pPr>
              <w:pStyle w:val="19"/>
              <w:ind w:right="279"/>
              <w:jc w:val="right"/>
              <w:rPr>
                <w:sz w:val="24"/>
              </w:rPr>
            </w:pPr>
            <w:r>
              <w:rPr>
                <w:sz w:val="24"/>
              </w:rPr>
              <w:t>21.1</w:t>
            </w:r>
          </w:p>
        </w:tc>
        <w:tc>
          <w:tcPr>
            <w:tcW w:w="2492" w:type="dxa"/>
          </w:tcPr>
          <w:p>
            <w:pPr>
              <w:pStyle w:val="19"/>
              <w:spacing w:before="7"/>
              <w:rPr>
                <w:b/>
                <w:sz w:val="26"/>
              </w:rPr>
            </w:pPr>
          </w:p>
          <w:p>
            <w:pPr>
              <w:pStyle w:val="19"/>
              <w:ind w:left="100" w:right="181"/>
              <w:jc w:val="center"/>
              <w:rPr>
                <w:sz w:val="24"/>
              </w:rPr>
            </w:pPr>
            <w:r>
              <w:rPr>
                <w:sz w:val="24"/>
              </w:rPr>
              <w:t>开标时间和开标地点</w:t>
            </w:r>
          </w:p>
        </w:tc>
        <w:tc>
          <w:tcPr>
            <w:tcW w:w="5597" w:type="dxa"/>
          </w:tcPr>
          <w:p>
            <w:pPr>
              <w:pStyle w:val="19"/>
              <w:spacing w:line="261" w:lineRule="auto"/>
              <w:ind w:left="108" w:right="1497"/>
              <w:rPr>
                <w:rFonts w:hint="eastAsia" w:eastAsia="宋体"/>
                <w:b/>
                <w:sz w:val="24"/>
                <w:lang w:eastAsia="zh-CN"/>
              </w:rPr>
            </w:pPr>
            <w:r>
              <w:rPr>
                <w:sz w:val="24"/>
              </w:rPr>
              <w:t>开标时间：</w:t>
            </w:r>
            <w:r>
              <w:rPr>
                <w:b w:val="0"/>
                <w:bCs/>
                <w:sz w:val="24"/>
              </w:rPr>
              <w:t>2020年</w:t>
            </w:r>
            <w:r>
              <w:rPr>
                <w:rFonts w:hint="eastAsia"/>
                <w:b w:val="0"/>
                <w:bCs/>
                <w:sz w:val="24"/>
                <w:lang w:val="en-US" w:eastAsia="zh-CN"/>
              </w:rPr>
              <w:t>8</w:t>
            </w:r>
            <w:r>
              <w:rPr>
                <w:b w:val="0"/>
                <w:bCs/>
                <w:sz w:val="24"/>
              </w:rPr>
              <w:t>月</w:t>
            </w:r>
            <w:r>
              <w:rPr>
                <w:rFonts w:hint="eastAsia"/>
                <w:b w:val="0"/>
                <w:bCs/>
                <w:sz w:val="24"/>
                <w:lang w:val="en-US" w:eastAsia="zh-CN"/>
              </w:rPr>
              <w:t>4</w:t>
            </w:r>
            <w:r>
              <w:rPr>
                <w:b w:val="0"/>
                <w:bCs/>
                <w:sz w:val="24"/>
              </w:rPr>
              <w:t>日</w:t>
            </w:r>
            <w:r>
              <w:rPr>
                <w:rFonts w:hint="eastAsia"/>
                <w:b w:val="0"/>
                <w:bCs/>
                <w:sz w:val="24"/>
                <w:lang w:eastAsia="zh-CN"/>
              </w:rPr>
              <w:t>上午</w:t>
            </w:r>
            <w:r>
              <w:rPr>
                <w:rFonts w:hint="eastAsia"/>
                <w:b w:val="0"/>
                <w:bCs/>
                <w:sz w:val="24"/>
                <w:lang w:val="en-US" w:eastAsia="zh-CN"/>
              </w:rPr>
              <w:t>9</w:t>
            </w:r>
            <w:r>
              <w:rPr>
                <w:b w:val="0"/>
                <w:bCs/>
                <w:sz w:val="24"/>
              </w:rPr>
              <w:t>时</w:t>
            </w:r>
            <w:r>
              <w:rPr>
                <w:rFonts w:hint="eastAsia"/>
                <w:b w:val="0"/>
                <w:bCs/>
                <w:sz w:val="24"/>
                <w:lang w:eastAsia="zh-CN"/>
              </w:rPr>
              <w:t>整</w:t>
            </w:r>
          </w:p>
          <w:p>
            <w:pPr>
              <w:pStyle w:val="19"/>
              <w:spacing w:before="31"/>
              <w:ind w:left="108"/>
              <w:rPr>
                <w:rFonts w:hint="default"/>
                <w:sz w:val="24"/>
                <w:lang w:val="en-US"/>
              </w:rPr>
            </w:pPr>
            <w:r>
              <w:rPr>
                <w:sz w:val="24"/>
              </w:rPr>
              <w:t>开标地点：</w:t>
            </w:r>
            <w:r>
              <w:rPr>
                <w:rFonts w:hint="eastAsia"/>
                <w:sz w:val="24"/>
                <w:lang w:val="en-US" w:eastAsia="zh-CN"/>
              </w:rPr>
              <w:t>温岭市新河镇人民政府三楼南会议室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565" w:type="dxa"/>
          </w:tcPr>
          <w:p>
            <w:pPr>
              <w:pStyle w:val="19"/>
              <w:rPr>
                <w:b/>
                <w:sz w:val="22"/>
              </w:rPr>
            </w:pPr>
          </w:p>
          <w:p>
            <w:pPr>
              <w:pStyle w:val="19"/>
              <w:spacing w:before="2"/>
              <w:rPr>
                <w:b/>
                <w:sz w:val="32"/>
              </w:rPr>
            </w:pPr>
          </w:p>
          <w:p>
            <w:pPr>
              <w:pStyle w:val="19"/>
              <w:ind w:left="112" w:right="193"/>
              <w:jc w:val="center"/>
              <w:rPr>
                <w:rFonts w:ascii="Times New Roman"/>
                <w:sz w:val="21"/>
              </w:rPr>
            </w:pPr>
            <w:r>
              <w:rPr>
                <w:rFonts w:ascii="Times New Roman"/>
                <w:sz w:val="21"/>
              </w:rPr>
              <w:t>17</w:t>
            </w:r>
          </w:p>
        </w:tc>
        <w:tc>
          <w:tcPr>
            <w:tcW w:w="968" w:type="dxa"/>
          </w:tcPr>
          <w:p>
            <w:pPr>
              <w:pStyle w:val="19"/>
              <w:rPr>
                <w:b/>
                <w:sz w:val="24"/>
              </w:rPr>
            </w:pPr>
          </w:p>
          <w:p>
            <w:pPr>
              <w:pStyle w:val="19"/>
              <w:spacing w:before="9"/>
              <w:rPr>
                <w:b/>
                <w:sz w:val="24"/>
              </w:rPr>
            </w:pPr>
          </w:p>
          <w:p>
            <w:pPr>
              <w:pStyle w:val="19"/>
              <w:ind w:right="279"/>
              <w:jc w:val="right"/>
              <w:rPr>
                <w:sz w:val="24"/>
              </w:rPr>
            </w:pPr>
            <w:r>
              <w:rPr>
                <w:sz w:val="24"/>
              </w:rPr>
              <w:t>29.1</w:t>
            </w:r>
          </w:p>
        </w:tc>
        <w:tc>
          <w:tcPr>
            <w:tcW w:w="2492" w:type="dxa"/>
          </w:tcPr>
          <w:p>
            <w:pPr>
              <w:pStyle w:val="19"/>
              <w:rPr>
                <w:b/>
                <w:sz w:val="24"/>
              </w:rPr>
            </w:pPr>
          </w:p>
          <w:p>
            <w:pPr>
              <w:pStyle w:val="19"/>
              <w:spacing w:before="9"/>
              <w:rPr>
                <w:b/>
                <w:sz w:val="24"/>
              </w:rPr>
            </w:pPr>
          </w:p>
          <w:p>
            <w:pPr>
              <w:pStyle w:val="19"/>
              <w:ind w:left="119" w:right="200"/>
              <w:jc w:val="center"/>
              <w:rPr>
                <w:sz w:val="24"/>
              </w:rPr>
            </w:pPr>
            <w:r>
              <w:rPr>
                <w:sz w:val="24"/>
              </w:rPr>
              <w:t>履约保证金</w:t>
            </w:r>
          </w:p>
        </w:tc>
        <w:tc>
          <w:tcPr>
            <w:tcW w:w="5597" w:type="dxa"/>
          </w:tcPr>
          <w:p>
            <w:pPr>
              <w:pStyle w:val="19"/>
              <w:spacing w:before="12"/>
              <w:rPr>
                <w:b/>
                <w:sz w:val="22"/>
              </w:rPr>
            </w:pPr>
          </w:p>
          <w:p>
            <w:pPr>
              <w:pStyle w:val="19"/>
              <w:spacing w:line="273" w:lineRule="auto"/>
              <w:ind w:left="108" w:right="753"/>
              <w:rPr>
                <w:rFonts w:hint="eastAsia"/>
                <w:b/>
                <w:sz w:val="22"/>
              </w:rPr>
            </w:pPr>
            <w:r>
              <w:rPr>
                <w:b/>
                <w:sz w:val="22"/>
              </w:rPr>
              <w:t>履约担保形式：</w:t>
            </w:r>
            <w:r>
              <w:rPr>
                <w:rFonts w:hint="eastAsia"/>
                <w:b/>
                <w:sz w:val="22"/>
              </w:rPr>
              <w:t>银行保函、保险公司保单、银行转账（或电汇）</w:t>
            </w:r>
          </w:p>
          <w:p>
            <w:pPr>
              <w:pStyle w:val="19"/>
              <w:spacing w:line="273" w:lineRule="auto"/>
              <w:ind w:left="108" w:right="753"/>
              <w:rPr>
                <w:rFonts w:hint="eastAsia" w:ascii="Times New Roman" w:eastAsia="宋体"/>
                <w:b/>
                <w:sz w:val="21"/>
                <w:lang w:eastAsia="zh-CN"/>
              </w:rPr>
            </w:pPr>
            <w:r>
              <w:rPr>
                <w:b/>
                <w:sz w:val="22"/>
              </w:rPr>
              <w:t xml:space="preserve">金额：按合同价的 </w:t>
            </w:r>
            <w:r>
              <w:rPr>
                <w:rFonts w:hint="eastAsia" w:ascii="Times New Roman"/>
                <w:b/>
                <w:sz w:val="22"/>
                <w:lang w:val="en-US" w:eastAsia="zh-CN"/>
              </w:rPr>
              <w:t>2</w:t>
            </w:r>
            <w:r>
              <w:rPr>
                <w:rFonts w:ascii="Times New Roman" w:eastAsia="Times New Roman"/>
                <w:b/>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3" w:hRule="atLeast"/>
        </w:trPr>
        <w:tc>
          <w:tcPr>
            <w:tcW w:w="565" w:type="dxa"/>
          </w:tcPr>
          <w:p>
            <w:pPr>
              <w:pStyle w:val="19"/>
              <w:ind w:left="112" w:right="193"/>
              <w:jc w:val="center"/>
              <w:rPr>
                <w:rFonts w:hint="default" w:ascii="Times New Roman" w:eastAsia="宋体"/>
                <w:sz w:val="21"/>
                <w:lang w:val="en-US" w:eastAsia="zh-CN"/>
              </w:rPr>
            </w:pPr>
            <w:r>
              <w:rPr>
                <w:rFonts w:hint="eastAsia" w:ascii="Times New Roman"/>
                <w:sz w:val="21"/>
                <w:lang w:val="en-US" w:eastAsia="zh-CN"/>
              </w:rPr>
              <w:t>18</w:t>
            </w:r>
          </w:p>
        </w:tc>
        <w:tc>
          <w:tcPr>
            <w:tcW w:w="968" w:type="dxa"/>
          </w:tcPr>
          <w:p>
            <w:pPr>
              <w:pStyle w:val="19"/>
              <w:ind w:right="279"/>
              <w:jc w:val="right"/>
              <w:rPr>
                <w:rFonts w:hint="default" w:eastAsia="宋体"/>
                <w:sz w:val="24"/>
                <w:lang w:val="en-US" w:eastAsia="zh-CN"/>
              </w:rPr>
            </w:pPr>
            <w:r>
              <w:rPr>
                <w:rFonts w:hint="eastAsia"/>
                <w:sz w:val="24"/>
                <w:lang w:val="en-US" w:eastAsia="zh-CN"/>
              </w:rPr>
              <w:t>30</w:t>
            </w:r>
          </w:p>
        </w:tc>
        <w:tc>
          <w:tcPr>
            <w:tcW w:w="2492" w:type="dxa"/>
          </w:tcPr>
          <w:p>
            <w:pPr>
              <w:pStyle w:val="19"/>
              <w:ind w:left="119" w:right="200"/>
              <w:jc w:val="center"/>
              <w:rPr>
                <w:rFonts w:hint="default" w:eastAsia="宋体"/>
                <w:sz w:val="24"/>
                <w:lang w:val="en-US" w:eastAsia="zh-CN"/>
              </w:rPr>
            </w:pPr>
            <w:r>
              <w:rPr>
                <w:rFonts w:hint="eastAsia"/>
                <w:sz w:val="24"/>
                <w:lang w:val="en-US" w:eastAsia="zh-CN"/>
              </w:rPr>
              <w:t>支付担保</w:t>
            </w:r>
          </w:p>
        </w:tc>
        <w:tc>
          <w:tcPr>
            <w:tcW w:w="5597" w:type="dxa"/>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支付担保形式：银行保函、保险公司保单 、银行转账 （或电汇）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金额：签约合同价的 2</w:t>
            </w:r>
            <w:r>
              <w:rPr>
                <w:rFonts w:ascii="Calibri" w:hAnsi="Calibri" w:eastAsia="宋体" w:cs="Calibri"/>
                <w:color w:val="000000"/>
                <w:kern w:val="0"/>
                <w:sz w:val="24"/>
                <w:szCs w:val="24"/>
                <w:lang w:val="en-US" w:eastAsia="zh-CN" w:bidi="ar"/>
              </w:rPr>
              <w:t xml:space="preserve">% </w:t>
            </w:r>
          </w:p>
          <w:p>
            <w:pPr>
              <w:spacing w:line="320" w:lineRule="exact"/>
              <w:rPr>
                <w:rFonts w:hint="default" w:ascii="宋体" w:hAnsi="宋体" w:eastAsia="宋体" w:cs="宋体"/>
                <w:b/>
                <w:color w:val="000000"/>
                <w:kern w:val="0"/>
                <w:sz w:val="22"/>
                <w:szCs w:val="22"/>
                <w:lang w:val="en-US" w:eastAsia="zh-CN" w:bidi="ar"/>
              </w:rPr>
            </w:pPr>
            <w:r>
              <w:rPr>
                <w:rFonts w:hint="default" w:ascii="宋体" w:hAnsi="宋体" w:eastAsia="宋体" w:cs="宋体"/>
                <w:b/>
                <w:color w:val="000000"/>
                <w:kern w:val="0"/>
                <w:sz w:val="22"/>
                <w:szCs w:val="22"/>
                <w:lang w:val="en-US" w:eastAsia="zh-CN" w:bidi="ar"/>
              </w:rPr>
              <w:t>户名：（中标人名称）</w:t>
            </w:r>
          </w:p>
          <w:p>
            <w:pPr>
              <w:spacing w:line="320" w:lineRule="exact"/>
              <w:rPr>
                <w:rFonts w:hint="default" w:ascii="宋体" w:hAnsi="宋体" w:eastAsia="宋体" w:cs="宋体"/>
                <w:b/>
                <w:color w:val="000000"/>
                <w:kern w:val="0"/>
                <w:sz w:val="22"/>
                <w:szCs w:val="22"/>
                <w:lang w:val="en-US" w:eastAsia="zh-CN" w:bidi="ar"/>
              </w:rPr>
            </w:pPr>
            <w:r>
              <w:rPr>
                <w:rFonts w:hint="default" w:ascii="宋体" w:hAnsi="宋体" w:eastAsia="宋体" w:cs="宋体"/>
                <w:b/>
                <w:color w:val="000000"/>
                <w:kern w:val="0"/>
                <w:sz w:val="22"/>
                <w:szCs w:val="22"/>
                <w:lang w:val="en-US" w:eastAsia="zh-CN" w:bidi="ar"/>
              </w:rPr>
              <w:t>开户银行：（中标人开户行名称）</w:t>
            </w:r>
          </w:p>
          <w:p>
            <w:pPr>
              <w:pStyle w:val="19"/>
              <w:spacing w:before="8" w:line="292" w:lineRule="auto"/>
              <w:ind w:right="2757"/>
              <w:rPr>
                <w:b/>
                <w:sz w:val="21"/>
              </w:rPr>
            </w:pPr>
            <w:r>
              <w:rPr>
                <w:rFonts w:hint="default" w:ascii="宋体" w:hAnsi="宋体" w:eastAsia="宋体" w:cs="宋体"/>
                <w:b/>
                <w:color w:val="000000"/>
                <w:kern w:val="0"/>
                <w:sz w:val="22"/>
                <w:szCs w:val="22"/>
                <w:lang w:val="en-US" w:eastAsia="zh-CN" w:bidi="ar"/>
              </w:rPr>
              <w:t>银行账号：（中标人银行账号）</w:t>
            </w:r>
          </w:p>
        </w:tc>
      </w:tr>
    </w:tbl>
    <w:p>
      <w:pPr>
        <w:spacing w:after="0" w:line="292" w:lineRule="auto"/>
        <w:rPr>
          <w:rFonts w:ascii="Times New Roman" w:eastAsia="Times New Roman"/>
          <w:sz w:val="21"/>
        </w:rPr>
        <w:sectPr>
          <w:pgSz w:w="11910" w:h="16840"/>
          <w:pgMar w:top="1580" w:right="360" w:bottom="1220" w:left="760" w:header="0" w:footer="1029" w:gutter="0"/>
        </w:sectPr>
      </w:pPr>
    </w:p>
    <w:p>
      <w:pPr>
        <w:pStyle w:val="11"/>
        <w:rPr>
          <w:b/>
          <w:sz w:val="20"/>
        </w:rPr>
      </w:pPr>
    </w:p>
    <w:p>
      <w:pPr>
        <w:pStyle w:val="11"/>
        <w:spacing w:before="8"/>
        <w:rPr>
          <w:b/>
        </w:rPr>
      </w:pPr>
    </w:p>
    <w:p>
      <w:pPr>
        <w:pStyle w:val="8"/>
        <w:tabs>
          <w:tab w:val="left" w:pos="5343"/>
        </w:tabs>
        <w:spacing w:line="429" w:lineRule="auto"/>
        <w:ind w:left="4219" w:right="4595"/>
        <w:jc w:val="center"/>
      </w:pPr>
      <w:r>
        <w:t>二、投标人须</w:t>
      </w:r>
      <w:r>
        <w:rPr>
          <w:spacing w:val="-12"/>
        </w:rPr>
        <w:t>知</w:t>
      </w:r>
      <w:r>
        <w:t>第一节</w:t>
      </w:r>
      <w:r>
        <w:tab/>
      </w:r>
      <w:r>
        <w:t>总则</w:t>
      </w:r>
    </w:p>
    <w:p>
      <w:pPr>
        <w:pStyle w:val="11"/>
        <w:spacing w:line="254" w:lineRule="exact"/>
        <w:ind w:left="1306"/>
      </w:pPr>
      <w:r>
        <w:t>本工程按照《中华人民共和国招标投标法》、《中华人民共和国招标投标法实</w:t>
      </w:r>
    </w:p>
    <w:p>
      <w:pPr>
        <w:pStyle w:val="11"/>
        <w:spacing w:before="91"/>
        <w:ind w:left="826"/>
      </w:pPr>
      <w:r>
        <w:t>施条例》、《浙江省招标投标条例》、《建设工程监理规范》（</w:t>
      </w:r>
      <w:r>
        <w:rPr>
          <w:rFonts w:ascii="Times New Roman" w:hAnsi="Times New Roman" w:eastAsia="Times New Roman"/>
        </w:rPr>
        <w:t>GB/T50319</w:t>
      </w:r>
      <w:r>
        <w:t>—</w:t>
      </w:r>
      <w:r>
        <w:rPr>
          <w:rFonts w:ascii="Times New Roman" w:hAnsi="Times New Roman" w:eastAsia="Times New Roman"/>
        </w:rPr>
        <w:t>2013</w:t>
      </w:r>
      <w:r>
        <w:t>）、</w:t>
      </w:r>
    </w:p>
    <w:p>
      <w:pPr>
        <w:pStyle w:val="11"/>
        <w:spacing w:before="94" w:line="312" w:lineRule="auto"/>
        <w:ind w:left="826" w:right="1084"/>
      </w:pPr>
      <w:r>
        <w:t>《浙江省建设工程监理管理条例》等有关法律、法规、规章规定，招标条件已具备， 现采用</w:t>
      </w:r>
      <w:r>
        <w:rPr>
          <w:u w:val="single"/>
        </w:rPr>
        <w:t>公开招标</w:t>
      </w:r>
      <w:r>
        <w:t>方式择优选用监理人。</w:t>
      </w:r>
    </w:p>
    <w:p>
      <w:pPr>
        <w:pStyle w:val="10"/>
        <w:numPr>
          <w:ilvl w:val="0"/>
          <w:numId w:val="3"/>
        </w:numPr>
        <w:tabs>
          <w:tab w:val="left" w:pos="1127"/>
        </w:tabs>
        <w:spacing w:before="0" w:after="0" w:line="307" w:lineRule="exact"/>
        <w:ind w:left="1126" w:right="0" w:hanging="301"/>
        <w:jc w:val="left"/>
      </w:pPr>
      <w:r>
        <w:t>工程说明</w:t>
      </w:r>
    </w:p>
    <w:p>
      <w:pPr>
        <w:pStyle w:val="18"/>
        <w:numPr>
          <w:ilvl w:val="1"/>
          <w:numId w:val="3"/>
        </w:numPr>
        <w:tabs>
          <w:tab w:val="left" w:pos="1787"/>
        </w:tabs>
        <w:spacing w:before="93" w:after="0" w:line="306" w:lineRule="exact"/>
        <w:ind w:left="1786" w:right="0" w:hanging="481"/>
        <w:jc w:val="left"/>
        <w:rPr>
          <w:sz w:val="24"/>
        </w:rPr>
      </w:pPr>
      <w:r>
        <w:rPr>
          <w:sz w:val="24"/>
        </w:rPr>
        <w:t>工程说明详见前附表第1项所述。</w:t>
      </w:r>
    </w:p>
    <w:p>
      <w:pPr>
        <w:pStyle w:val="18"/>
        <w:numPr>
          <w:ilvl w:val="1"/>
          <w:numId w:val="3"/>
        </w:numPr>
        <w:tabs>
          <w:tab w:val="left" w:pos="1787"/>
        </w:tabs>
        <w:spacing w:before="20" w:after="0" w:line="218" w:lineRule="auto"/>
        <w:ind w:left="826" w:right="991" w:firstLine="480"/>
        <w:jc w:val="left"/>
        <w:rPr>
          <w:sz w:val="32"/>
          <w:szCs w:val="28"/>
        </w:rPr>
      </w:pPr>
      <w:r>
        <w:rPr>
          <w:spacing w:val="-5"/>
          <w:sz w:val="24"/>
        </w:rPr>
        <w:t>工程概况：</w:t>
      </w:r>
      <w:r>
        <w:rPr>
          <w:rFonts w:hint="eastAsia" w:ascii="宋体" w:hAnsi="宋体" w:cs="宋体"/>
          <w:sz w:val="24"/>
          <w:szCs w:val="24"/>
        </w:rPr>
        <w:t>XH010201地块用地面积约8605.25㎡，总建筑面积：</w:t>
      </w:r>
      <w:r>
        <w:rPr>
          <w:rFonts w:hint="eastAsia" w:ascii="宋体" w:hAnsi="宋体" w:cs="宋体"/>
          <w:sz w:val="24"/>
          <w:szCs w:val="24"/>
          <w:lang w:val="en-US" w:eastAsia="zh-CN"/>
        </w:rPr>
        <w:t>42150</w:t>
      </w:r>
      <w:r>
        <w:rPr>
          <w:rFonts w:hint="eastAsia" w:ascii="宋体" w:hAnsi="宋体" w:cs="宋体"/>
          <w:sz w:val="24"/>
          <w:szCs w:val="24"/>
        </w:rPr>
        <w:t>㎡。1#厂房占地面积：790㎡</w:t>
      </w:r>
      <w:r>
        <w:rPr>
          <w:rFonts w:hint="eastAsia" w:ascii="宋体" w:hAnsi="宋体" w:cs="宋体"/>
          <w:sz w:val="24"/>
          <w:szCs w:val="24"/>
          <w:lang w:val="en-US" w:eastAsia="zh-CN"/>
        </w:rPr>
        <w:t>,</w:t>
      </w:r>
      <w:r>
        <w:rPr>
          <w:rFonts w:hint="eastAsia" w:ascii="宋体" w:hAnsi="宋体" w:cs="宋体"/>
          <w:sz w:val="24"/>
          <w:szCs w:val="24"/>
        </w:rPr>
        <w:t>建筑面积：4850㎡</w:t>
      </w:r>
      <w:r>
        <w:rPr>
          <w:rFonts w:hint="eastAsia" w:ascii="宋体" w:hAnsi="宋体" w:cs="宋体"/>
          <w:sz w:val="24"/>
          <w:szCs w:val="24"/>
          <w:lang w:val="en-US" w:eastAsia="zh-CN"/>
        </w:rPr>
        <w:t>,</w:t>
      </w:r>
      <w:r>
        <w:rPr>
          <w:rFonts w:hint="eastAsia" w:ascii="宋体" w:hAnsi="宋体" w:cs="宋体"/>
          <w:sz w:val="24"/>
          <w:szCs w:val="24"/>
        </w:rPr>
        <w:t>一层设置50㎡的垃圾收集站和配电房以及配电房, 物业经营用房、物业办公用房</w:t>
      </w:r>
      <w:r>
        <w:rPr>
          <w:rFonts w:hint="eastAsia" w:ascii="宋体" w:hAnsi="宋体" w:cs="宋体"/>
          <w:sz w:val="24"/>
          <w:szCs w:val="24"/>
          <w:lang w:val="en-US" w:eastAsia="zh-CN"/>
        </w:rPr>
        <w:t>,</w:t>
      </w:r>
      <w:r>
        <w:rPr>
          <w:rFonts w:hint="eastAsia" w:ascii="宋体" w:hAnsi="宋体" w:cs="宋体"/>
          <w:sz w:val="24"/>
          <w:szCs w:val="24"/>
        </w:rPr>
        <w:t>二~六层为丙类标准厂房</w:t>
      </w:r>
      <w:r>
        <w:rPr>
          <w:rFonts w:hint="eastAsia" w:ascii="宋体" w:hAnsi="宋体" w:cs="宋体"/>
          <w:sz w:val="24"/>
          <w:szCs w:val="24"/>
          <w:lang w:val="en-US" w:eastAsia="zh-CN"/>
        </w:rPr>
        <w:t>.</w:t>
      </w:r>
      <w:r>
        <w:rPr>
          <w:rFonts w:hint="eastAsia" w:ascii="宋体" w:hAnsi="宋体" w:cs="宋体"/>
          <w:sz w:val="24"/>
          <w:szCs w:val="24"/>
        </w:rPr>
        <w:t>2#厂房占地面积：3245㎡</w:t>
      </w:r>
      <w:r>
        <w:rPr>
          <w:rFonts w:hint="eastAsia" w:ascii="宋体" w:hAnsi="宋体" w:cs="宋体"/>
          <w:sz w:val="24"/>
          <w:szCs w:val="24"/>
          <w:lang w:val="en-US" w:eastAsia="zh-CN"/>
        </w:rPr>
        <w:t>,</w:t>
      </w:r>
      <w:r>
        <w:rPr>
          <w:rFonts w:hint="eastAsia" w:ascii="宋体" w:hAnsi="宋体" w:cs="宋体"/>
          <w:sz w:val="24"/>
          <w:szCs w:val="24"/>
        </w:rPr>
        <w:t>建筑面积：37300㎡，其中地上32750㎡，地下4550㎡</w:t>
      </w:r>
      <w:r>
        <w:rPr>
          <w:rFonts w:hint="eastAsia" w:ascii="宋体" w:hAnsi="宋体" w:cs="宋体"/>
          <w:sz w:val="24"/>
          <w:szCs w:val="24"/>
          <w:lang w:val="en-US" w:eastAsia="zh-CN"/>
        </w:rPr>
        <w:t>,</w:t>
      </w:r>
      <w:r>
        <w:rPr>
          <w:rFonts w:hint="eastAsia" w:ascii="宋体" w:hAnsi="宋体" w:cs="宋体"/>
          <w:sz w:val="24"/>
          <w:szCs w:val="24"/>
        </w:rPr>
        <w:t>一~十层为丙类标准厂房</w:t>
      </w:r>
      <w:r>
        <w:rPr>
          <w:rFonts w:hint="eastAsia" w:ascii="宋体" w:hAnsi="宋体" w:cs="宋体"/>
          <w:sz w:val="24"/>
          <w:szCs w:val="24"/>
          <w:lang w:val="en-US" w:eastAsia="zh-CN"/>
        </w:rPr>
        <w:t>.</w:t>
      </w:r>
      <w:r>
        <w:rPr>
          <w:rFonts w:hint="eastAsia" w:ascii="宋体" w:hAnsi="宋体" w:cs="宋体"/>
          <w:sz w:val="24"/>
          <w:szCs w:val="24"/>
        </w:rPr>
        <w:t>地下停车库设置</w:t>
      </w:r>
      <w:r>
        <w:rPr>
          <w:rFonts w:hint="eastAsia" w:ascii="宋体" w:hAnsi="宋体" w:cs="宋体"/>
          <w:color w:val="000000"/>
          <w:sz w:val="24"/>
          <w:szCs w:val="24"/>
        </w:rPr>
        <w:t>机动车停车库、设备房、消防水池、楼梯间</w:t>
      </w:r>
      <w:r>
        <w:rPr>
          <w:rFonts w:hint="eastAsia" w:ascii="宋体" w:hAnsi="宋体" w:cs="宋体"/>
          <w:color w:val="000000"/>
          <w:sz w:val="24"/>
          <w:szCs w:val="24"/>
          <w:lang w:val="en-US" w:eastAsia="zh-CN"/>
        </w:rPr>
        <w:t>等</w:t>
      </w:r>
    </w:p>
    <w:p>
      <w:pPr>
        <w:pStyle w:val="10"/>
        <w:numPr>
          <w:ilvl w:val="0"/>
          <w:numId w:val="3"/>
        </w:numPr>
        <w:tabs>
          <w:tab w:val="left" w:pos="1127"/>
        </w:tabs>
        <w:spacing w:before="74" w:after="0" w:line="240" w:lineRule="auto"/>
        <w:ind w:left="1126" w:right="0" w:hanging="301"/>
        <w:jc w:val="left"/>
      </w:pPr>
      <w:r>
        <w:t>质量要求、招标范围</w:t>
      </w:r>
    </w:p>
    <w:p>
      <w:pPr>
        <w:pStyle w:val="18"/>
        <w:numPr>
          <w:ilvl w:val="1"/>
          <w:numId w:val="3"/>
        </w:numPr>
        <w:tabs>
          <w:tab w:val="left" w:pos="1787"/>
        </w:tabs>
        <w:spacing w:before="93" w:after="0" w:line="240" w:lineRule="auto"/>
        <w:ind w:left="1786" w:right="0" w:hanging="481"/>
        <w:jc w:val="left"/>
        <w:rPr>
          <w:sz w:val="24"/>
        </w:rPr>
      </w:pPr>
      <w:r>
        <w:rPr>
          <w:spacing w:val="-3"/>
          <w:sz w:val="24"/>
        </w:rPr>
        <w:t xml:space="preserve">本招标工程质量要求详见投标人须知前附表第 </w:t>
      </w:r>
      <w:r>
        <w:rPr>
          <w:sz w:val="24"/>
        </w:rPr>
        <w:t>2</w:t>
      </w:r>
      <w:r>
        <w:rPr>
          <w:spacing w:val="-12"/>
          <w:sz w:val="24"/>
        </w:rPr>
        <w:t xml:space="preserve"> 项所述。</w:t>
      </w:r>
    </w:p>
    <w:p>
      <w:pPr>
        <w:pStyle w:val="18"/>
        <w:numPr>
          <w:ilvl w:val="1"/>
          <w:numId w:val="3"/>
        </w:numPr>
        <w:tabs>
          <w:tab w:val="left" w:pos="1787"/>
        </w:tabs>
        <w:spacing w:before="94" w:after="0" w:line="240" w:lineRule="auto"/>
        <w:ind w:left="1786" w:right="0" w:hanging="481"/>
        <w:jc w:val="left"/>
        <w:rPr>
          <w:sz w:val="24"/>
        </w:rPr>
      </w:pPr>
      <w:r>
        <w:rPr>
          <w:spacing w:val="-3"/>
          <w:sz w:val="24"/>
        </w:rPr>
        <w:t xml:space="preserve">本招标工程的招标范围详见本须知前附表第 </w:t>
      </w:r>
      <w:r>
        <w:rPr>
          <w:sz w:val="24"/>
        </w:rPr>
        <w:t>3</w:t>
      </w:r>
      <w:r>
        <w:rPr>
          <w:spacing w:val="-12"/>
          <w:sz w:val="24"/>
        </w:rPr>
        <w:t xml:space="preserve"> 项所述。</w:t>
      </w:r>
    </w:p>
    <w:p>
      <w:pPr>
        <w:pStyle w:val="10"/>
        <w:numPr>
          <w:ilvl w:val="0"/>
          <w:numId w:val="3"/>
        </w:numPr>
        <w:tabs>
          <w:tab w:val="left" w:pos="1127"/>
        </w:tabs>
        <w:spacing w:before="91" w:after="0" w:line="240" w:lineRule="auto"/>
        <w:ind w:left="1126" w:right="0" w:hanging="301"/>
        <w:jc w:val="left"/>
      </w:pPr>
      <w:r>
        <w:t>资金来源</w:t>
      </w:r>
    </w:p>
    <w:p>
      <w:pPr>
        <w:pStyle w:val="18"/>
        <w:numPr>
          <w:ilvl w:val="1"/>
          <w:numId w:val="3"/>
        </w:numPr>
        <w:tabs>
          <w:tab w:val="left" w:pos="1787"/>
        </w:tabs>
        <w:spacing w:before="110" w:after="0" w:line="312" w:lineRule="auto"/>
        <w:ind w:left="826" w:right="1207" w:firstLine="480"/>
        <w:jc w:val="left"/>
        <w:rPr>
          <w:sz w:val="24"/>
        </w:rPr>
      </w:pPr>
      <w:r>
        <w:rPr>
          <w:sz w:val="24"/>
        </w:rPr>
        <w:t>招标人的资金已通过投标人须知前附表第4</w:t>
      </w:r>
      <w:r>
        <w:rPr>
          <w:spacing w:val="-4"/>
          <w:sz w:val="24"/>
        </w:rPr>
        <w:t>项所述的方式获得，并将部分资</w:t>
      </w:r>
      <w:r>
        <w:rPr>
          <w:sz w:val="24"/>
        </w:rPr>
        <w:t>金用于本工程合同项下的合格支付。</w:t>
      </w:r>
    </w:p>
    <w:p>
      <w:pPr>
        <w:pStyle w:val="10"/>
        <w:numPr>
          <w:ilvl w:val="0"/>
          <w:numId w:val="3"/>
        </w:numPr>
        <w:tabs>
          <w:tab w:val="left" w:pos="1127"/>
        </w:tabs>
        <w:spacing w:before="16" w:after="0" w:line="240" w:lineRule="auto"/>
        <w:ind w:left="1126" w:right="0" w:hanging="301"/>
        <w:jc w:val="left"/>
      </w:pPr>
      <w:r>
        <w:t>投标人资格条件</w:t>
      </w:r>
    </w:p>
    <w:p>
      <w:pPr>
        <w:pStyle w:val="18"/>
        <w:numPr>
          <w:ilvl w:val="1"/>
          <w:numId w:val="3"/>
        </w:numPr>
        <w:tabs>
          <w:tab w:val="left" w:pos="1789"/>
        </w:tabs>
        <w:spacing w:before="110" w:after="0" w:line="312" w:lineRule="auto"/>
        <w:ind w:left="826" w:right="1207" w:firstLine="480"/>
        <w:jc w:val="left"/>
        <w:rPr>
          <w:sz w:val="24"/>
        </w:rPr>
      </w:pPr>
      <w:r>
        <w:rPr>
          <w:sz w:val="24"/>
        </w:rPr>
        <w:t>为履行本监理合同的目的，投标人企业资质等级应符合投标人须知前附表第5项的要求。</w:t>
      </w:r>
    </w:p>
    <w:p>
      <w:pPr>
        <w:pStyle w:val="18"/>
        <w:numPr>
          <w:ilvl w:val="0"/>
          <w:numId w:val="4"/>
        </w:numPr>
        <w:tabs>
          <w:tab w:val="left" w:pos="1908"/>
        </w:tabs>
        <w:spacing w:before="19" w:after="0" w:line="240" w:lineRule="auto"/>
        <w:ind w:left="1907" w:right="0" w:hanging="602"/>
        <w:jc w:val="left"/>
        <w:rPr>
          <w:sz w:val="24"/>
        </w:rPr>
      </w:pPr>
      <w:r>
        <w:rPr>
          <w:sz w:val="24"/>
        </w:rPr>
        <w:t>投标人资质条件：见投标人须知前附表；</w:t>
      </w:r>
    </w:p>
    <w:p>
      <w:pPr>
        <w:pStyle w:val="18"/>
        <w:numPr>
          <w:ilvl w:val="0"/>
          <w:numId w:val="4"/>
        </w:numPr>
        <w:tabs>
          <w:tab w:val="left" w:pos="1908"/>
        </w:tabs>
        <w:spacing w:before="108" w:after="0" w:line="240" w:lineRule="auto"/>
        <w:ind w:left="1907" w:right="0" w:hanging="602"/>
        <w:jc w:val="left"/>
        <w:rPr>
          <w:sz w:val="24"/>
        </w:rPr>
      </w:pPr>
      <w:r>
        <w:rPr>
          <w:sz w:val="24"/>
        </w:rPr>
        <w:t>项目总监理工程师资格：见投标人须知前附表；</w:t>
      </w:r>
    </w:p>
    <w:p>
      <w:pPr>
        <w:pStyle w:val="18"/>
        <w:numPr>
          <w:ilvl w:val="0"/>
          <w:numId w:val="4"/>
        </w:numPr>
        <w:tabs>
          <w:tab w:val="left" w:pos="1908"/>
        </w:tabs>
        <w:spacing w:before="110" w:after="0" w:line="240" w:lineRule="auto"/>
        <w:ind w:left="1907" w:right="0" w:hanging="602"/>
        <w:jc w:val="left"/>
        <w:rPr>
          <w:sz w:val="24"/>
        </w:rPr>
      </w:pPr>
      <w:r>
        <w:rPr>
          <w:sz w:val="24"/>
        </w:rPr>
        <w:t>专业监理人员：见投标人须知前附表。</w:t>
      </w:r>
    </w:p>
    <w:p>
      <w:pPr>
        <w:pStyle w:val="18"/>
        <w:numPr>
          <w:ilvl w:val="1"/>
          <w:numId w:val="3"/>
        </w:numPr>
        <w:tabs>
          <w:tab w:val="left" w:pos="1789"/>
        </w:tabs>
        <w:spacing w:before="110" w:after="0" w:line="312" w:lineRule="auto"/>
        <w:ind w:left="826" w:right="1207" w:firstLine="480"/>
        <w:jc w:val="both"/>
        <w:rPr>
          <w:sz w:val="24"/>
        </w:rPr>
      </w:pPr>
      <w:r>
        <w:rPr>
          <w:sz w:val="24"/>
        </w:rPr>
        <w:t>报名参加投标的企业必须具有独立法人资格，为具有被授予合同的资格， 报名参加投标的企业应提供令招标人满意的资格文件，以证明其符合投标人资格条件和具有履行合同的能力。</w:t>
      </w:r>
    </w:p>
    <w:p>
      <w:pPr>
        <w:pStyle w:val="18"/>
        <w:numPr>
          <w:ilvl w:val="1"/>
          <w:numId w:val="3"/>
        </w:numPr>
        <w:tabs>
          <w:tab w:val="left" w:pos="1787"/>
        </w:tabs>
        <w:spacing w:before="10" w:after="0" w:line="240" w:lineRule="auto"/>
        <w:ind w:left="1786" w:right="0" w:hanging="481"/>
        <w:jc w:val="both"/>
        <w:rPr>
          <w:sz w:val="24"/>
        </w:rPr>
      </w:pPr>
      <w:r>
        <w:rPr>
          <w:sz w:val="24"/>
        </w:rPr>
        <w:t>本工程不接受联合体投标。</w:t>
      </w:r>
    </w:p>
    <w:p>
      <w:pPr>
        <w:pStyle w:val="18"/>
        <w:numPr>
          <w:ilvl w:val="1"/>
          <w:numId w:val="3"/>
        </w:numPr>
        <w:tabs>
          <w:tab w:val="left" w:pos="1787"/>
        </w:tabs>
        <w:spacing w:before="101" w:after="0" w:line="240" w:lineRule="auto"/>
        <w:ind w:left="1786" w:right="0" w:hanging="481"/>
        <w:jc w:val="both"/>
        <w:rPr>
          <w:sz w:val="24"/>
        </w:rPr>
      </w:pPr>
      <w:r>
        <w:rPr>
          <w:sz w:val="24"/>
        </w:rPr>
        <w:t>投标人不得有存在下列情况之一：</w:t>
      </w:r>
    </w:p>
    <w:p>
      <w:pPr>
        <w:spacing w:after="0" w:line="240" w:lineRule="auto"/>
        <w:jc w:val="both"/>
        <w:rPr>
          <w:sz w:val="24"/>
        </w:rPr>
        <w:sectPr>
          <w:pgSz w:w="11910" w:h="16840"/>
          <w:pgMar w:top="1580" w:right="360" w:bottom="1220" w:left="760" w:header="0" w:footer="1029" w:gutter="0"/>
        </w:sectPr>
      </w:pPr>
    </w:p>
    <w:p>
      <w:pPr>
        <w:pStyle w:val="11"/>
        <w:rPr>
          <w:sz w:val="20"/>
        </w:rPr>
      </w:pPr>
    </w:p>
    <w:p>
      <w:pPr>
        <w:pStyle w:val="11"/>
        <w:spacing w:before="1"/>
        <w:rPr>
          <w:sz w:val="20"/>
        </w:rPr>
      </w:pPr>
    </w:p>
    <w:p>
      <w:pPr>
        <w:pStyle w:val="10"/>
        <w:spacing w:before="66"/>
        <w:ind w:left="1306"/>
      </w:pPr>
      <w:r>
        <w:t>（一）为招标人不具有独立法人资格的附属机构（单位）；</w:t>
      </w:r>
    </w:p>
    <w:p>
      <w:pPr>
        <w:spacing w:before="93"/>
        <w:ind w:left="1306" w:right="0" w:firstLine="0"/>
        <w:jc w:val="left"/>
        <w:rPr>
          <w:b/>
          <w:sz w:val="24"/>
        </w:rPr>
      </w:pPr>
      <w:r>
        <w:rPr>
          <w:b/>
          <w:sz w:val="24"/>
        </w:rPr>
        <w:t>（二）为本工程的代建人；</w:t>
      </w:r>
    </w:p>
    <w:p>
      <w:pPr>
        <w:spacing w:before="94"/>
        <w:ind w:left="1306" w:right="0" w:firstLine="0"/>
        <w:jc w:val="left"/>
        <w:rPr>
          <w:b/>
          <w:sz w:val="24"/>
        </w:rPr>
      </w:pPr>
      <w:r>
        <w:rPr>
          <w:b/>
          <w:sz w:val="24"/>
        </w:rPr>
        <w:t>（三）为本工程提供招标代理服务的；</w:t>
      </w:r>
    </w:p>
    <w:p>
      <w:pPr>
        <w:spacing w:before="90"/>
        <w:ind w:left="1306" w:right="0" w:firstLine="0"/>
        <w:jc w:val="left"/>
        <w:rPr>
          <w:b/>
          <w:sz w:val="24"/>
        </w:rPr>
      </w:pPr>
      <w:r>
        <w:rPr>
          <w:b/>
          <w:sz w:val="24"/>
        </w:rPr>
        <w:t>（四）与本工程的代建人或招标代理机构同一个法定代表人的；</w:t>
      </w:r>
    </w:p>
    <w:p>
      <w:pPr>
        <w:spacing w:before="94"/>
        <w:ind w:left="1306" w:right="0" w:firstLine="0"/>
        <w:jc w:val="left"/>
        <w:rPr>
          <w:b/>
          <w:sz w:val="24"/>
        </w:rPr>
      </w:pPr>
      <w:r>
        <w:rPr>
          <w:b/>
          <w:sz w:val="24"/>
        </w:rPr>
        <w:t>（五）与本工程的代建人或招标代理机构相互控股或参股的；</w:t>
      </w:r>
    </w:p>
    <w:p>
      <w:pPr>
        <w:spacing w:before="93" w:line="312" w:lineRule="auto"/>
        <w:ind w:left="826" w:right="1046" w:firstLine="480"/>
        <w:jc w:val="both"/>
        <w:rPr>
          <w:b/>
          <w:sz w:val="24"/>
        </w:rPr>
      </w:pPr>
      <w:r>
        <w:rPr>
          <w:b/>
          <w:sz w:val="24"/>
        </w:rPr>
        <w:t>（六）与招标人存在利害关系可能影响招标公正性的法人、其他组织或者个人， 不得参加投标。单位负责人为同一人或者存在控股、管理关系的不同单位，不得参加同一标段或者未划分标段的同一招标项目投标。</w:t>
      </w:r>
    </w:p>
    <w:p>
      <w:pPr>
        <w:pStyle w:val="18"/>
        <w:numPr>
          <w:ilvl w:val="1"/>
          <w:numId w:val="3"/>
        </w:numPr>
        <w:tabs>
          <w:tab w:val="left" w:pos="1847"/>
        </w:tabs>
        <w:spacing w:before="1" w:after="0" w:line="312" w:lineRule="auto"/>
        <w:ind w:left="826" w:right="1111" w:firstLine="600"/>
        <w:jc w:val="both"/>
        <w:rPr>
          <w:sz w:val="24"/>
        </w:rPr>
      </w:pPr>
      <w:r>
        <w:rPr>
          <w:spacing w:val="-8"/>
          <w:sz w:val="24"/>
        </w:rPr>
        <w:t>投标人提供的资格标中如有瞒报、漏报、伪造或提供虚假证明及其他弄虚作</w:t>
      </w:r>
      <w:r>
        <w:rPr>
          <w:spacing w:val="-6"/>
          <w:sz w:val="24"/>
        </w:rPr>
        <w:t>假行为的，一经查实将取消其投标资格，已取得中标资格的，将取消其中标资格，并</w:t>
      </w:r>
      <w:r>
        <w:rPr>
          <w:sz w:val="24"/>
        </w:rPr>
        <w:t>报有关行政监督部门处理。</w:t>
      </w:r>
    </w:p>
    <w:p>
      <w:pPr>
        <w:pStyle w:val="10"/>
        <w:spacing w:line="291" w:lineRule="exact"/>
      </w:pPr>
      <w:r>
        <w:rPr>
          <w:rFonts w:ascii="Times New Roman" w:eastAsia="Times New Roman"/>
        </w:rPr>
        <w:t>5</w:t>
      </w:r>
      <w:r>
        <w:t>、现场踏勘及投标预备会</w:t>
      </w:r>
    </w:p>
    <w:p>
      <w:pPr>
        <w:pStyle w:val="11"/>
        <w:spacing w:before="108" w:line="312" w:lineRule="auto"/>
        <w:ind w:left="826" w:right="1084" w:firstLine="484"/>
      </w:pPr>
      <w:r>
        <w:rPr>
          <w:rFonts w:ascii="Times New Roman" w:eastAsia="Times New Roman"/>
        </w:rPr>
        <w:t>5.1</w:t>
      </w:r>
      <w:r>
        <w:rPr>
          <w:rFonts w:ascii="Times New Roman" w:eastAsia="Times New Roman"/>
          <w:spacing w:val="47"/>
        </w:rPr>
        <w:t xml:space="preserve"> </w:t>
      </w:r>
      <w:r>
        <w:rPr>
          <w:spacing w:val="-1"/>
        </w:rPr>
        <w:t>投标人可自行对本工程施工现场和周围环境进行勘察，以获取编制投标文件和签署合同所需的资料。踏勘现场所发生的费用由投标人自己承担。</w:t>
      </w:r>
    </w:p>
    <w:p>
      <w:pPr>
        <w:pStyle w:val="18"/>
        <w:numPr>
          <w:ilvl w:val="1"/>
          <w:numId w:val="5"/>
        </w:numPr>
        <w:tabs>
          <w:tab w:val="left" w:pos="1736"/>
        </w:tabs>
        <w:spacing w:before="2" w:after="0" w:line="312" w:lineRule="auto"/>
        <w:ind w:left="826" w:right="1087" w:firstLine="484"/>
        <w:jc w:val="left"/>
        <w:rPr>
          <w:sz w:val="24"/>
        </w:rPr>
      </w:pPr>
      <w:r>
        <w:rPr>
          <w:spacing w:val="-1"/>
          <w:sz w:val="24"/>
        </w:rPr>
        <w:t>招标人向投标人提供的有关施工现场的资料和数据，是招标人现有的能使投标人利用的资料。招标人对投标人由此而作出的推论、理解、结论概不负责。</w:t>
      </w:r>
    </w:p>
    <w:p>
      <w:pPr>
        <w:pStyle w:val="18"/>
        <w:numPr>
          <w:ilvl w:val="1"/>
          <w:numId w:val="5"/>
        </w:numPr>
        <w:tabs>
          <w:tab w:val="left" w:pos="1736"/>
        </w:tabs>
        <w:spacing w:before="0" w:after="0" w:line="307" w:lineRule="exact"/>
        <w:ind w:left="1736" w:right="0" w:hanging="425"/>
        <w:jc w:val="left"/>
        <w:rPr>
          <w:sz w:val="24"/>
        </w:rPr>
      </w:pPr>
      <w:r>
        <w:rPr>
          <w:sz w:val="24"/>
          <w:u w:val="single"/>
        </w:rPr>
        <w:t>本工程不组织投标预备会。</w:t>
      </w:r>
    </w:p>
    <w:p>
      <w:pPr>
        <w:pStyle w:val="10"/>
        <w:numPr>
          <w:ilvl w:val="0"/>
          <w:numId w:val="6"/>
        </w:numPr>
        <w:tabs>
          <w:tab w:val="left" w:pos="1127"/>
        </w:tabs>
        <w:spacing w:before="91" w:after="0" w:line="240" w:lineRule="auto"/>
        <w:ind w:left="1126" w:right="0" w:hanging="301"/>
        <w:jc w:val="left"/>
        <w:rPr>
          <w:rFonts w:ascii="Times New Roman" w:eastAsia="Times New Roman"/>
        </w:rPr>
      </w:pPr>
      <w:r>
        <w:t>投标费用</w:t>
      </w:r>
    </w:p>
    <w:p>
      <w:pPr>
        <w:pStyle w:val="18"/>
        <w:numPr>
          <w:ilvl w:val="1"/>
          <w:numId w:val="6"/>
        </w:numPr>
        <w:tabs>
          <w:tab w:val="left" w:pos="1727"/>
        </w:tabs>
        <w:spacing w:before="90" w:after="0" w:line="312" w:lineRule="auto"/>
        <w:ind w:left="826" w:right="1113" w:firstLine="480"/>
        <w:jc w:val="left"/>
        <w:rPr>
          <w:sz w:val="24"/>
        </w:rPr>
      </w:pPr>
      <w:r>
        <w:rPr>
          <w:spacing w:val="-1"/>
          <w:sz w:val="24"/>
        </w:rPr>
        <w:t>投标人应承担其编制投标文件与递交投标文件所涉及的一切费用。不管投标</w:t>
      </w:r>
      <w:r>
        <w:rPr>
          <w:sz w:val="24"/>
        </w:rPr>
        <w:t>结果如何，招标单位对上述费用不负任何责任。</w:t>
      </w:r>
    </w:p>
    <w:p>
      <w:pPr>
        <w:pStyle w:val="11"/>
        <w:spacing w:before="9"/>
      </w:pPr>
    </w:p>
    <w:p>
      <w:pPr>
        <w:pStyle w:val="8"/>
        <w:tabs>
          <w:tab w:val="left" w:pos="5201"/>
        </w:tabs>
        <w:ind w:left="4078"/>
      </w:pPr>
      <w:r>
        <w:t>第二节</w:t>
      </w:r>
      <w:r>
        <w:tab/>
      </w:r>
      <w:r>
        <w:t>招标文件</w:t>
      </w:r>
    </w:p>
    <w:p>
      <w:pPr>
        <w:pStyle w:val="10"/>
        <w:numPr>
          <w:ilvl w:val="0"/>
          <w:numId w:val="6"/>
        </w:numPr>
        <w:tabs>
          <w:tab w:val="left" w:pos="1127"/>
        </w:tabs>
        <w:spacing w:before="99" w:after="0" w:line="240" w:lineRule="auto"/>
        <w:ind w:left="1126" w:right="0" w:hanging="301"/>
        <w:jc w:val="left"/>
        <w:rPr>
          <w:rFonts w:ascii="Times New Roman" w:eastAsia="Times New Roman"/>
        </w:rPr>
      </w:pPr>
      <w:r>
        <w:t>招标文件的组成</w:t>
      </w:r>
    </w:p>
    <w:p>
      <w:pPr>
        <w:pStyle w:val="18"/>
        <w:numPr>
          <w:ilvl w:val="1"/>
          <w:numId w:val="6"/>
        </w:numPr>
        <w:tabs>
          <w:tab w:val="left" w:pos="1727"/>
        </w:tabs>
        <w:spacing w:before="110" w:after="0" w:line="326" w:lineRule="auto"/>
        <w:ind w:left="1726" w:right="6177" w:hanging="420"/>
        <w:jc w:val="left"/>
        <w:rPr>
          <w:rFonts w:ascii="Times New Roman" w:eastAsia="Times New Roman"/>
          <w:sz w:val="24"/>
        </w:rPr>
      </w:pPr>
      <w:r>
        <w:rPr>
          <w:spacing w:val="-2"/>
          <w:sz w:val="24"/>
        </w:rPr>
        <w:t xml:space="preserve">本招标文件包括下列内容： </w:t>
      </w:r>
      <w:r>
        <w:rPr>
          <w:sz w:val="24"/>
        </w:rPr>
        <w:t>第一章 招标公告</w:t>
      </w:r>
    </w:p>
    <w:p>
      <w:pPr>
        <w:pStyle w:val="11"/>
        <w:spacing w:line="326" w:lineRule="auto"/>
        <w:ind w:left="1726" w:right="4857"/>
      </w:pPr>
      <w:r>
        <w:t>第二章 投标人须知前附表和投标人须知第三章 评标办法</w:t>
      </w:r>
    </w:p>
    <w:p>
      <w:pPr>
        <w:pStyle w:val="11"/>
        <w:spacing w:line="326" w:lineRule="auto"/>
        <w:ind w:left="1726" w:right="6537"/>
      </w:pPr>
      <w:r>
        <w:t>第四章 合同条款及格式第五章 投标文件格式</w:t>
      </w:r>
    </w:p>
    <w:p>
      <w:pPr>
        <w:pStyle w:val="18"/>
        <w:numPr>
          <w:ilvl w:val="1"/>
          <w:numId w:val="6"/>
        </w:numPr>
        <w:tabs>
          <w:tab w:val="left" w:pos="1787"/>
        </w:tabs>
        <w:spacing w:before="0" w:after="0" w:line="312" w:lineRule="auto"/>
        <w:ind w:left="826" w:right="1207" w:firstLine="480"/>
        <w:jc w:val="left"/>
        <w:rPr>
          <w:sz w:val="24"/>
        </w:rPr>
      </w:pPr>
      <w:r>
        <w:rPr>
          <w:sz w:val="24"/>
        </w:rPr>
        <w:t>除本须知7.1</w:t>
      </w:r>
      <w:r>
        <w:rPr>
          <w:spacing w:val="-1"/>
          <w:sz w:val="24"/>
        </w:rPr>
        <w:t>条内容外，按本须知第</w:t>
      </w:r>
      <w:r>
        <w:rPr>
          <w:sz w:val="24"/>
        </w:rPr>
        <w:t>8</w:t>
      </w:r>
      <w:r>
        <w:rPr>
          <w:spacing w:val="-3"/>
          <w:sz w:val="24"/>
        </w:rPr>
        <w:t>、</w:t>
      </w:r>
      <w:r>
        <w:rPr>
          <w:sz w:val="24"/>
        </w:rPr>
        <w:t>9</w:t>
      </w:r>
      <w:r>
        <w:rPr>
          <w:spacing w:val="-5"/>
          <w:sz w:val="24"/>
        </w:rPr>
        <w:t>、</w:t>
      </w:r>
      <w:r>
        <w:rPr>
          <w:sz w:val="24"/>
        </w:rPr>
        <w:t>10</w:t>
      </w:r>
      <w:r>
        <w:rPr>
          <w:spacing w:val="-2"/>
          <w:sz w:val="24"/>
        </w:rPr>
        <w:t>条发出的对招标文件澄清或修</w:t>
      </w:r>
      <w:r>
        <w:rPr>
          <w:sz w:val="24"/>
        </w:rPr>
        <w:t>改内容，均为本招标文件的组成部分，对招标人和投标人起约束作用。</w:t>
      </w:r>
    </w:p>
    <w:p>
      <w:pPr>
        <w:spacing w:after="0" w:line="312" w:lineRule="auto"/>
        <w:jc w:val="left"/>
        <w:rPr>
          <w:sz w:val="24"/>
        </w:rPr>
        <w:sectPr>
          <w:pgSz w:w="11910" w:h="16840"/>
          <w:pgMar w:top="1580" w:right="360" w:bottom="1300" w:left="760" w:header="0" w:footer="1029" w:gutter="0"/>
        </w:sectPr>
      </w:pPr>
    </w:p>
    <w:p>
      <w:pPr>
        <w:pStyle w:val="11"/>
        <w:rPr>
          <w:sz w:val="20"/>
        </w:rPr>
      </w:pPr>
    </w:p>
    <w:p>
      <w:pPr>
        <w:pStyle w:val="11"/>
        <w:spacing w:before="6"/>
        <w:rPr>
          <w:sz w:val="19"/>
        </w:rPr>
      </w:pPr>
    </w:p>
    <w:p>
      <w:pPr>
        <w:pStyle w:val="10"/>
        <w:numPr>
          <w:ilvl w:val="0"/>
          <w:numId w:val="6"/>
        </w:numPr>
        <w:tabs>
          <w:tab w:val="left" w:pos="1127"/>
        </w:tabs>
        <w:spacing w:before="74" w:after="0" w:line="240" w:lineRule="auto"/>
        <w:ind w:left="1126" w:right="0" w:hanging="301"/>
        <w:jc w:val="both"/>
        <w:rPr>
          <w:rFonts w:ascii="Times New Roman" w:eastAsia="Times New Roman"/>
        </w:rPr>
      </w:pPr>
      <w:r>
        <w:t>招标文件的澄清</w:t>
      </w:r>
    </w:p>
    <w:p>
      <w:pPr>
        <w:pStyle w:val="18"/>
        <w:numPr>
          <w:ilvl w:val="1"/>
          <w:numId w:val="6"/>
        </w:numPr>
        <w:tabs>
          <w:tab w:val="left" w:pos="1727"/>
        </w:tabs>
        <w:spacing w:before="78" w:after="0" w:line="295" w:lineRule="auto"/>
        <w:ind w:left="809" w:right="1089" w:firstLine="436"/>
        <w:jc w:val="both"/>
        <w:rPr>
          <w:sz w:val="24"/>
        </w:rPr>
      </w:pPr>
      <w:r>
        <w:rPr>
          <w:spacing w:val="-2"/>
          <w:sz w:val="24"/>
        </w:rPr>
        <w:t>投标人应仔细阅读和检查招标文件的全部内容。如发现缺页或附件不全、招</w:t>
      </w:r>
      <w:r>
        <w:rPr>
          <w:spacing w:val="-7"/>
          <w:sz w:val="24"/>
        </w:rPr>
        <w:t>标文件中存在含糊不清、自相矛盾、多种含义等问题的，应及时向招标人提出，以便补正。如有疑问，应在投标人须知前附表第</w:t>
      </w:r>
      <w:r>
        <w:rPr>
          <w:rFonts w:ascii="Times New Roman" w:eastAsia="Times New Roman"/>
          <w:spacing w:val="-7"/>
          <w:sz w:val="24"/>
        </w:rPr>
        <w:t>8</w:t>
      </w:r>
      <w:r>
        <w:rPr>
          <w:spacing w:val="-7"/>
          <w:sz w:val="24"/>
        </w:rPr>
        <w:t>项规定的时间前以书面形式</w:t>
      </w:r>
    </w:p>
    <w:p>
      <w:pPr>
        <w:pStyle w:val="11"/>
        <w:spacing w:before="5" w:line="295" w:lineRule="auto"/>
        <w:ind w:left="809" w:right="1183"/>
      </w:pPr>
      <w:r>
        <w:t>等可以有形地表现所载内容的形式，下同〕要求招标人对招标文件予以澄清。</w:t>
      </w:r>
    </w:p>
    <w:p>
      <w:pPr>
        <w:pStyle w:val="18"/>
        <w:numPr>
          <w:ilvl w:val="1"/>
          <w:numId w:val="6"/>
        </w:numPr>
        <w:tabs>
          <w:tab w:val="left" w:pos="1915"/>
          <w:tab w:val="left" w:pos="1916"/>
        </w:tabs>
        <w:spacing w:before="19" w:after="0" w:line="312" w:lineRule="auto"/>
        <w:ind w:left="826" w:right="1084" w:firstLine="484"/>
        <w:jc w:val="left"/>
        <w:rPr>
          <w:sz w:val="24"/>
        </w:rPr>
      </w:pPr>
      <w:r>
        <w:rPr>
          <w:spacing w:val="-5"/>
          <w:sz w:val="24"/>
        </w:rPr>
        <w:t>澄清的内容可能影响投标文件编制的，招标人应当在投标人须知前附表第</w:t>
      </w:r>
      <w:r>
        <w:rPr>
          <w:rFonts w:ascii="Times New Roman" w:eastAsia="Times New Roman"/>
          <w:sz w:val="24"/>
        </w:rPr>
        <w:t xml:space="preserve">9 </w:t>
      </w:r>
      <w:r>
        <w:rPr>
          <w:sz w:val="24"/>
        </w:rPr>
        <w:t>项规定的截止时间前以书面形式发给所有已报名的投标人</w:t>
      </w:r>
      <w:r>
        <w:rPr>
          <w:sz w:val="24"/>
          <w:u w:val="single"/>
        </w:rPr>
        <w:t>或在温岭市公共资源交易</w:t>
      </w:r>
      <w:r>
        <w:rPr>
          <w:spacing w:val="-5"/>
          <w:sz w:val="24"/>
          <w:u w:val="single"/>
        </w:rPr>
        <w:t>中心网站中发布，由投标人自行查阅，</w:t>
      </w:r>
      <w:r>
        <w:rPr>
          <w:spacing w:val="-2"/>
          <w:sz w:val="24"/>
        </w:rPr>
        <w:t>但不指明澄清问题的来源。如果澄清发出的时间距投标截止时间不足</w:t>
      </w:r>
      <w:r>
        <w:rPr>
          <w:spacing w:val="1"/>
          <w:sz w:val="24"/>
          <w:u w:val="single"/>
        </w:rPr>
        <w:t xml:space="preserve"> </w:t>
      </w:r>
      <w:r>
        <w:rPr>
          <w:rFonts w:ascii="Times New Roman" w:eastAsia="Times New Roman"/>
          <w:sz w:val="24"/>
          <w:u w:val="single"/>
        </w:rPr>
        <w:t>1</w:t>
      </w:r>
      <w:r>
        <w:rPr>
          <w:rFonts w:ascii="Times New Roman" w:eastAsia="Times New Roman"/>
          <w:spacing w:val="5"/>
          <w:sz w:val="24"/>
        </w:rPr>
        <w:t xml:space="preserve"> </w:t>
      </w:r>
      <w:r>
        <w:rPr>
          <w:sz w:val="24"/>
        </w:rPr>
        <w:t>天，相应延长投标截止时间。</w:t>
      </w:r>
    </w:p>
    <w:p>
      <w:pPr>
        <w:pStyle w:val="18"/>
        <w:numPr>
          <w:ilvl w:val="1"/>
          <w:numId w:val="6"/>
        </w:numPr>
        <w:tabs>
          <w:tab w:val="left" w:pos="1916"/>
        </w:tabs>
        <w:spacing w:before="2" w:after="0" w:line="297" w:lineRule="auto"/>
        <w:ind w:left="826" w:right="1082" w:firstLine="484"/>
        <w:jc w:val="both"/>
        <w:rPr>
          <w:sz w:val="24"/>
        </w:rPr>
      </w:pPr>
      <w:r>
        <w:rPr>
          <w:spacing w:val="-4"/>
          <w:sz w:val="24"/>
        </w:rPr>
        <w:t>投标人在收到澄清文件后，应在接到澄清文件后</w:t>
      </w:r>
      <w:r>
        <w:rPr>
          <w:spacing w:val="11"/>
          <w:sz w:val="24"/>
          <w:u w:val="single"/>
        </w:rPr>
        <w:t xml:space="preserve"> </w:t>
      </w:r>
      <w:r>
        <w:rPr>
          <w:sz w:val="24"/>
          <w:u w:val="single"/>
        </w:rPr>
        <w:t>1</w:t>
      </w:r>
      <w:r>
        <w:rPr>
          <w:sz w:val="24"/>
        </w:rPr>
        <w:t xml:space="preserve"> 天内以书面形式通知招标</w:t>
      </w:r>
      <w:r>
        <w:rPr>
          <w:spacing w:val="-4"/>
          <w:position w:val="2"/>
          <w:sz w:val="24"/>
        </w:rPr>
        <w:t>人，确认已收到该澄清文件，未以书面形式确认的，则视为已收到该澄清文件并明</w:t>
      </w:r>
      <w:r>
        <w:rPr>
          <w:sz w:val="24"/>
        </w:rPr>
        <w:t>知其内容。</w:t>
      </w:r>
    </w:p>
    <w:p>
      <w:pPr>
        <w:pStyle w:val="10"/>
        <w:numPr>
          <w:ilvl w:val="0"/>
          <w:numId w:val="6"/>
        </w:numPr>
        <w:tabs>
          <w:tab w:val="left" w:pos="1127"/>
        </w:tabs>
        <w:spacing w:before="33" w:after="0" w:line="240" w:lineRule="auto"/>
        <w:ind w:left="1126" w:right="0" w:hanging="301"/>
        <w:jc w:val="both"/>
        <w:rPr>
          <w:rFonts w:ascii="Times New Roman" w:eastAsia="Times New Roman"/>
        </w:rPr>
      </w:pPr>
      <w:r>
        <w:t>招标文件的修改</w:t>
      </w:r>
    </w:p>
    <w:p>
      <w:pPr>
        <w:pStyle w:val="18"/>
        <w:numPr>
          <w:ilvl w:val="1"/>
          <w:numId w:val="6"/>
        </w:numPr>
        <w:tabs>
          <w:tab w:val="left" w:pos="1858"/>
          <w:tab w:val="left" w:pos="1859"/>
        </w:tabs>
        <w:spacing w:before="113" w:after="0" w:line="312" w:lineRule="auto"/>
        <w:ind w:left="826" w:right="1005" w:firstLine="484"/>
        <w:jc w:val="left"/>
        <w:rPr>
          <w:rFonts w:ascii="Times New Roman" w:eastAsia="Times New Roman"/>
          <w:sz w:val="24"/>
        </w:rPr>
      </w:pPr>
      <w:r>
        <w:rPr>
          <w:sz w:val="24"/>
        </w:rPr>
        <w:t xml:space="preserve">在招标文件发出后，招标人可以书面形式修改招标文件，修改的内容可能 </w:t>
      </w:r>
      <w:r>
        <w:rPr>
          <w:spacing w:val="-8"/>
          <w:sz w:val="24"/>
        </w:rPr>
        <w:t>影响投标文件编制的，招标人应当在投标人须知前附表第</w:t>
      </w:r>
      <w:r>
        <w:rPr>
          <w:rFonts w:ascii="Times New Roman" w:eastAsia="Times New Roman"/>
          <w:sz w:val="24"/>
        </w:rPr>
        <w:t>10</w:t>
      </w:r>
      <w:r>
        <w:rPr>
          <w:sz w:val="24"/>
        </w:rPr>
        <w:t>项规定的截止时间前发给所有已报名的投标人</w:t>
      </w:r>
      <w:r>
        <w:rPr>
          <w:sz w:val="24"/>
          <w:u w:val="single"/>
        </w:rPr>
        <w:t>或在温岭市公共资源交易中心网站中发布，由投标人自行查阅</w:t>
      </w:r>
      <w:r>
        <w:rPr>
          <w:sz w:val="24"/>
        </w:rPr>
        <w:t>。如果修改招标文件的时间距投标截止时间不足</w:t>
      </w:r>
      <w:r>
        <w:rPr>
          <w:spacing w:val="9"/>
          <w:sz w:val="24"/>
          <w:u w:val="single"/>
        </w:rPr>
        <w:t xml:space="preserve"> </w:t>
      </w:r>
      <w:r>
        <w:rPr>
          <w:sz w:val="24"/>
          <w:u w:val="single"/>
        </w:rPr>
        <w:t>1</w:t>
      </w:r>
      <w:r>
        <w:rPr>
          <w:sz w:val="24"/>
        </w:rPr>
        <w:t xml:space="preserve"> 天，相应延长投标截止时间。</w:t>
      </w:r>
    </w:p>
    <w:p>
      <w:pPr>
        <w:pStyle w:val="18"/>
        <w:numPr>
          <w:ilvl w:val="1"/>
          <w:numId w:val="6"/>
        </w:numPr>
        <w:tabs>
          <w:tab w:val="left" w:pos="1859"/>
        </w:tabs>
        <w:spacing w:before="0" w:after="0" w:line="297" w:lineRule="auto"/>
        <w:ind w:left="826" w:right="1082" w:firstLine="484"/>
        <w:jc w:val="both"/>
        <w:rPr>
          <w:rFonts w:ascii="Times New Roman" w:eastAsia="Times New Roman"/>
          <w:sz w:val="24"/>
        </w:rPr>
      </w:pPr>
      <w:r>
        <w:rPr>
          <w:spacing w:val="-2"/>
          <w:sz w:val="24"/>
        </w:rPr>
        <w:t>投标人收到修改文件后，应在接到修改文件后</w:t>
      </w:r>
      <w:r>
        <w:rPr>
          <w:spacing w:val="23"/>
          <w:sz w:val="24"/>
          <w:u w:val="single"/>
        </w:rPr>
        <w:t xml:space="preserve"> </w:t>
      </w:r>
      <w:r>
        <w:rPr>
          <w:rFonts w:ascii="Times New Roman" w:eastAsia="Times New Roman"/>
          <w:sz w:val="24"/>
          <w:u w:val="single"/>
        </w:rPr>
        <w:t>1</w:t>
      </w:r>
      <w:r>
        <w:rPr>
          <w:rFonts w:ascii="Times New Roman" w:eastAsia="Times New Roman"/>
          <w:spacing w:val="25"/>
          <w:sz w:val="24"/>
        </w:rPr>
        <w:t xml:space="preserve"> </w:t>
      </w:r>
      <w:r>
        <w:rPr>
          <w:sz w:val="24"/>
        </w:rPr>
        <w:t>天内以书面形式通知招标</w:t>
      </w:r>
      <w:r>
        <w:rPr>
          <w:spacing w:val="-3"/>
          <w:sz w:val="24"/>
        </w:rPr>
        <w:t>人，确认已收到该修改文件</w:t>
      </w:r>
      <w:r>
        <w:rPr>
          <w:spacing w:val="-5"/>
          <w:position w:val="2"/>
          <w:sz w:val="24"/>
        </w:rPr>
        <w:t>，未以书面形式确认的，则视为已收到该修改文件并明知</w:t>
      </w:r>
      <w:r>
        <w:rPr>
          <w:sz w:val="24"/>
        </w:rPr>
        <w:t>其内容。</w:t>
      </w:r>
    </w:p>
    <w:p>
      <w:pPr>
        <w:pStyle w:val="10"/>
        <w:numPr>
          <w:ilvl w:val="0"/>
          <w:numId w:val="6"/>
        </w:numPr>
        <w:tabs>
          <w:tab w:val="left" w:pos="1128"/>
        </w:tabs>
        <w:spacing w:before="33" w:after="0" w:line="240" w:lineRule="auto"/>
        <w:ind w:left="1127" w:right="0" w:hanging="302"/>
        <w:jc w:val="left"/>
        <w:rPr>
          <w:rFonts w:ascii="Times New Roman" w:eastAsia="Times New Roman"/>
          <w:sz w:val="22"/>
        </w:rPr>
      </w:pPr>
      <w:r>
        <w:t>招标文件的异议</w:t>
      </w:r>
    </w:p>
    <w:p>
      <w:pPr>
        <w:pStyle w:val="18"/>
        <w:numPr>
          <w:ilvl w:val="1"/>
          <w:numId w:val="6"/>
        </w:numPr>
        <w:tabs>
          <w:tab w:val="left" w:pos="1856"/>
        </w:tabs>
        <w:spacing w:before="113" w:after="0" w:line="312" w:lineRule="auto"/>
        <w:ind w:left="826" w:right="1185" w:firstLine="484"/>
        <w:jc w:val="left"/>
        <w:rPr>
          <w:rFonts w:ascii="Times New Roman" w:eastAsia="Times New Roman"/>
          <w:sz w:val="24"/>
        </w:rPr>
      </w:pPr>
      <w:r>
        <w:rPr>
          <w:sz w:val="24"/>
        </w:rPr>
        <w:t>潜在投标人或者其他利害关系人对招标文件有异议的，应当在投标截止时间</w:t>
      </w:r>
      <w:r>
        <w:rPr>
          <w:spacing w:val="14"/>
          <w:sz w:val="24"/>
          <w:u w:val="single"/>
        </w:rPr>
        <w:t xml:space="preserve"> </w:t>
      </w:r>
      <w:r>
        <w:rPr>
          <w:rFonts w:ascii="Times New Roman" w:eastAsia="Times New Roman"/>
          <w:sz w:val="24"/>
          <w:u w:val="single"/>
        </w:rPr>
        <w:t>3</w:t>
      </w:r>
      <w:r>
        <w:rPr>
          <w:rFonts w:ascii="Times New Roman" w:eastAsia="Times New Roman"/>
          <w:spacing w:val="13"/>
          <w:sz w:val="24"/>
        </w:rPr>
        <w:t xml:space="preserve"> </w:t>
      </w:r>
      <w:r>
        <w:rPr>
          <w:sz w:val="24"/>
        </w:rPr>
        <w:t>日前以书面形式提出异议。招标人应当自收到异议之日起</w:t>
      </w:r>
      <w:r>
        <w:rPr>
          <w:spacing w:val="14"/>
          <w:sz w:val="24"/>
          <w:u w:val="single"/>
        </w:rPr>
        <w:t xml:space="preserve"> </w:t>
      </w:r>
      <w:r>
        <w:rPr>
          <w:rFonts w:ascii="Times New Roman" w:eastAsia="Times New Roman"/>
          <w:sz w:val="24"/>
          <w:u w:val="single"/>
        </w:rPr>
        <w:t>1</w:t>
      </w:r>
      <w:r>
        <w:rPr>
          <w:rFonts w:ascii="Times New Roman" w:eastAsia="Times New Roman"/>
          <w:spacing w:val="13"/>
          <w:sz w:val="24"/>
        </w:rPr>
        <w:t xml:space="preserve"> </w:t>
      </w:r>
      <w:r>
        <w:rPr>
          <w:sz w:val="24"/>
        </w:rPr>
        <w:t>日内作出答复。</w:t>
      </w:r>
    </w:p>
    <w:p>
      <w:pPr>
        <w:pStyle w:val="11"/>
        <w:spacing w:before="1"/>
        <w:rPr>
          <w:sz w:val="23"/>
        </w:rPr>
      </w:pPr>
    </w:p>
    <w:p>
      <w:pPr>
        <w:pStyle w:val="8"/>
        <w:tabs>
          <w:tab w:val="left" w:pos="4639"/>
        </w:tabs>
        <w:spacing w:before="62"/>
        <w:ind w:left="3516"/>
      </w:pPr>
      <w:r>
        <w:t>第三节</w:t>
      </w:r>
      <w:r>
        <w:tab/>
      </w:r>
      <w:r>
        <w:t>投标报价编制依据</w:t>
      </w:r>
    </w:p>
    <w:p>
      <w:pPr>
        <w:pStyle w:val="10"/>
        <w:numPr>
          <w:ilvl w:val="0"/>
          <w:numId w:val="6"/>
        </w:numPr>
        <w:tabs>
          <w:tab w:val="left" w:pos="1116"/>
        </w:tabs>
        <w:spacing w:before="96" w:after="0" w:line="240" w:lineRule="auto"/>
        <w:ind w:left="1115" w:right="0" w:hanging="290"/>
        <w:jc w:val="left"/>
        <w:rPr>
          <w:rFonts w:ascii="Times New Roman" w:eastAsia="Times New Roman"/>
          <w:sz w:val="22"/>
        </w:rPr>
      </w:pPr>
      <w:r>
        <w:t>编制依据</w:t>
      </w:r>
    </w:p>
    <w:p>
      <w:pPr>
        <w:pStyle w:val="18"/>
        <w:numPr>
          <w:ilvl w:val="1"/>
          <w:numId w:val="6"/>
        </w:numPr>
        <w:tabs>
          <w:tab w:val="left" w:pos="1720"/>
        </w:tabs>
        <w:spacing w:before="142" w:after="0" w:line="360" w:lineRule="auto"/>
        <w:ind w:left="826" w:right="1111" w:firstLine="420"/>
        <w:jc w:val="left"/>
        <w:rPr>
          <w:rFonts w:ascii="Times New Roman" w:eastAsia="Times New Roman"/>
          <w:sz w:val="24"/>
        </w:rPr>
      </w:pPr>
      <w:r>
        <w:rPr>
          <w:spacing w:val="-1"/>
          <w:sz w:val="24"/>
          <w:u w:val="single"/>
        </w:rPr>
        <w:t>本工程监理服务费按照监理范围内的实际工程结算价乘以中标时承诺的费率</w:t>
      </w:r>
      <w:r>
        <w:rPr>
          <w:spacing w:val="-220"/>
          <w:sz w:val="24"/>
          <w:u w:val="single"/>
        </w:rPr>
        <w:t>计</w:t>
      </w:r>
      <w:r>
        <w:rPr>
          <w:sz w:val="24"/>
          <w:u w:val="single"/>
        </w:rPr>
        <w:t>取。</w:t>
      </w:r>
    </w:p>
    <w:p>
      <w:pPr>
        <w:pStyle w:val="18"/>
        <w:numPr>
          <w:ilvl w:val="1"/>
          <w:numId w:val="6"/>
        </w:numPr>
        <w:tabs>
          <w:tab w:val="left" w:pos="1720"/>
        </w:tabs>
        <w:spacing w:before="0" w:after="0" w:line="360" w:lineRule="auto"/>
        <w:ind w:left="826" w:right="1111" w:firstLine="420"/>
        <w:jc w:val="left"/>
        <w:rPr>
          <w:rFonts w:ascii="Times New Roman" w:eastAsia="Times New Roman"/>
          <w:sz w:val="24"/>
        </w:rPr>
      </w:pPr>
      <w:r>
        <w:rPr>
          <w:spacing w:val="-1"/>
          <w:sz w:val="24"/>
        </w:rPr>
        <w:t>投标报价应是招标文件所确定的招标范围内全部工作内容的价格表现。其应</w:t>
      </w:r>
      <w:r>
        <w:rPr>
          <w:spacing w:val="-6"/>
          <w:sz w:val="24"/>
        </w:rPr>
        <w:t>包括人工、办公、交通、仪器、设施、单位管理、保险、利润、税金、政策性文件规</w:t>
      </w:r>
    </w:p>
    <w:p>
      <w:pPr>
        <w:spacing w:after="0" w:line="360" w:lineRule="auto"/>
        <w:jc w:val="left"/>
        <w:rPr>
          <w:rFonts w:ascii="Times New Roman" w:eastAsia="Times New Roman"/>
          <w:sz w:val="24"/>
        </w:rPr>
        <w:sectPr>
          <w:pgSz w:w="11910" w:h="16840"/>
          <w:pgMar w:top="1580" w:right="360" w:bottom="1300" w:left="760" w:header="0" w:footer="1029" w:gutter="0"/>
        </w:sectPr>
      </w:pPr>
    </w:p>
    <w:p>
      <w:pPr>
        <w:pStyle w:val="11"/>
        <w:rPr>
          <w:sz w:val="20"/>
        </w:rPr>
      </w:pPr>
    </w:p>
    <w:p>
      <w:pPr>
        <w:pStyle w:val="11"/>
        <w:spacing w:before="3"/>
        <w:rPr>
          <w:sz w:val="23"/>
        </w:rPr>
      </w:pPr>
    </w:p>
    <w:p>
      <w:pPr>
        <w:pStyle w:val="11"/>
        <w:spacing w:before="74" w:line="360" w:lineRule="auto"/>
        <w:ind w:left="826" w:right="1113"/>
      </w:pPr>
      <w:r>
        <w:t xml:space="preserve">定及合同包含的所以风险、责任等各项全部费用。投标人应在前附表第 </w:t>
      </w:r>
      <w:r>
        <w:rPr>
          <w:rFonts w:ascii="Times New Roman" w:eastAsia="Times New Roman"/>
        </w:rPr>
        <w:t xml:space="preserve">11 </w:t>
      </w:r>
      <w:r>
        <w:t>项规定的范围内报价，投标报价超出上述规定的报价范围的，该投标作无效标处理。</w:t>
      </w:r>
    </w:p>
    <w:p>
      <w:pPr>
        <w:pStyle w:val="18"/>
        <w:numPr>
          <w:ilvl w:val="1"/>
          <w:numId w:val="6"/>
        </w:numPr>
        <w:tabs>
          <w:tab w:val="left" w:pos="1717"/>
        </w:tabs>
        <w:spacing w:before="0" w:after="0" w:line="307" w:lineRule="exact"/>
        <w:ind w:left="1716" w:right="0" w:hanging="471"/>
        <w:jc w:val="left"/>
        <w:rPr>
          <w:rFonts w:ascii="Times New Roman" w:eastAsia="Times New Roman"/>
          <w:sz w:val="24"/>
        </w:rPr>
      </w:pPr>
      <w:r>
        <w:rPr>
          <w:spacing w:val="-5"/>
          <w:sz w:val="24"/>
        </w:rPr>
        <w:t>本工程保修阶段的监理服务收费不再另行计取，各投标人在报价中综合考虑。</w:t>
      </w:r>
    </w:p>
    <w:p>
      <w:pPr>
        <w:pStyle w:val="11"/>
        <w:rPr>
          <w:sz w:val="26"/>
        </w:rPr>
      </w:pPr>
    </w:p>
    <w:p>
      <w:pPr>
        <w:pStyle w:val="8"/>
        <w:tabs>
          <w:tab w:val="left" w:pos="4781"/>
        </w:tabs>
        <w:spacing w:before="207"/>
        <w:ind w:left="3656"/>
      </w:pPr>
      <w:r>
        <w:t>第四节</w:t>
      </w:r>
      <w:r>
        <w:tab/>
      </w:r>
      <w:r>
        <w:t>投标文件的编制</w:t>
      </w:r>
    </w:p>
    <w:p>
      <w:pPr>
        <w:pStyle w:val="10"/>
        <w:numPr>
          <w:ilvl w:val="0"/>
          <w:numId w:val="6"/>
        </w:numPr>
        <w:tabs>
          <w:tab w:val="left" w:pos="1128"/>
        </w:tabs>
        <w:spacing w:before="99" w:after="0" w:line="240" w:lineRule="auto"/>
        <w:ind w:left="1127" w:right="0" w:hanging="302"/>
        <w:jc w:val="left"/>
        <w:rPr>
          <w:rFonts w:ascii="Times New Roman" w:eastAsia="Times New Roman"/>
          <w:sz w:val="22"/>
        </w:rPr>
      </w:pPr>
      <w:r>
        <w:t>投标文件的语言及度量衡单位</w:t>
      </w:r>
    </w:p>
    <w:p>
      <w:pPr>
        <w:pStyle w:val="18"/>
        <w:numPr>
          <w:ilvl w:val="1"/>
          <w:numId w:val="6"/>
        </w:numPr>
        <w:tabs>
          <w:tab w:val="left" w:pos="1847"/>
        </w:tabs>
        <w:spacing w:before="57" w:after="0" w:line="278" w:lineRule="auto"/>
        <w:ind w:left="826" w:right="991" w:firstLine="480"/>
        <w:jc w:val="left"/>
        <w:rPr>
          <w:sz w:val="24"/>
        </w:rPr>
      </w:pPr>
      <w:r>
        <w:rPr>
          <w:spacing w:val="-5"/>
          <w:sz w:val="24"/>
        </w:rPr>
        <w:t>投标人与招标人之间对招投标有关的所有往来通知、函件和投标文件均使用</w:t>
      </w:r>
      <w:r>
        <w:rPr>
          <w:spacing w:val="-14"/>
          <w:sz w:val="24"/>
        </w:rPr>
        <w:t xml:space="preserve">中文。投标人随投标文件提供的证明文件和资料可以为其它语言，但必须附中文译文， </w:t>
      </w:r>
      <w:r>
        <w:rPr>
          <w:sz w:val="24"/>
        </w:rPr>
        <w:t>解释这些文件，应以中文为准。</w:t>
      </w:r>
    </w:p>
    <w:p>
      <w:pPr>
        <w:pStyle w:val="18"/>
        <w:numPr>
          <w:ilvl w:val="1"/>
          <w:numId w:val="6"/>
        </w:numPr>
        <w:tabs>
          <w:tab w:val="left" w:pos="1914"/>
        </w:tabs>
        <w:spacing w:before="15" w:after="0" w:line="278" w:lineRule="auto"/>
        <w:ind w:left="826" w:right="1207" w:firstLine="480"/>
        <w:jc w:val="left"/>
        <w:rPr>
          <w:sz w:val="24"/>
        </w:rPr>
      </w:pPr>
      <w:r>
        <w:rPr>
          <w:spacing w:val="6"/>
          <w:sz w:val="24"/>
        </w:rPr>
        <w:t>除工程规范另有规定外,投标文件使用的度量衡单位,均采用中华人民共</w:t>
      </w:r>
      <w:r>
        <w:rPr>
          <w:sz w:val="24"/>
        </w:rPr>
        <w:t>和国法定计量单位。</w:t>
      </w:r>
    </w:p>
    <w:p>
      <w:pPr>
        <w:pStyle w:val="10"/>
        <w:numPr>
          <w:ilvl w:val="0"/>
          <w:numId w:val="6"/>
        </w:numPr>
        <w:tabs>
          <w:tab w:val="left" w:pos="1187"/>
        </w:tabs>
        <w:spacing w:before="14" w:after="0" w:line="240" w:lineRule="auto"/>
        <w:ind w:left="1186" w:right="0" w:hanging="361"/>
        <w:jc w:val="left"/>
        <w:rPr>
          <w:rFonts w:ascii="Times New Roman" w:eastAsia="Times New Roman"/>
        </w:rPr>
      </w:pPr>
      <w:r>
        <w:t>投标文件的组成</w:t>
      </w:r>
    </w:p>
    <w:p>
      <w:pPr>
        <w:pStyle w:val="18"/>
        <w:numPr>
          <w:ilvl w:val="1"/>
          <w:numId w:val="6"/>
        </w:numPr>
        <w:tabs>
          <w:tab w:val="left" w:pos="1847"/>
        </w:tabs>
        <w:spacing w:before="86" w:after="0" w:line="240" w:lineRule="auto"/>
        <w:ind w:left="1846" w:right="0" w:hanging="541"/>
        <w:jc w:val="left"/>
        <w:rPr>
          <w:rFonts w:ascii="Times New Roman" w:eastAsia="Times New Roman"/>
          <w:sz w:val="24"/>
        </w:rPr>
      </w:pPr>
      <w:r>
        <w:rPr>
          <w:sz w:val="24"/>
          <w:u w:val="single"/>
        </w:rPr>
        <w:t>本工程项目投标文件由资格标、商务标两部分组成。</w:t>
      </w:r>
    </w:p>
    <w:p>
      <w:pPr>
        <w:spacing w:before="91"/>
        <w:ind w:left="1186" w:right="0" w:firstLine="0"/>
        <w:jc w:val="left"/>
        <w:rPr>
          <w:b/>
          <w:sz w:val="24"/>
        </w:rPr>
      </w:pPr>
      <w:r>
        <w:rPr>
          <w:rFonts w:ascii="Times New Roman" w:eastAsia="Times New Roman"/>
          <w:sz w:val="24"/>
          <w:u w:val="single"/>
        </w:rPr>
        <w:t xml:space="preserve">  13.2</w:t>
      </w:r>
      <w:r>
        <w:rPr>
          <w:rFonts w:ascii="Times New Roman" w:eastAsia="Times New Roman"/>
          <w:spacing w:val="59"/>
          <w:sz w:val="24"/>
          <w:u w:val="single"/>
        </w:rPr>
        <w:t xml:space="preserve"> </w:t>
      </w:r>
      <w:r>
        <w:rPr>
          <w:b/>
          <w:sz w:val="24"/>
          <w:u w:val="single"/>
        </w:rPr>
        <w:t>商务标包括以下内容：</w:t>
      </w:r>
    </w:p>
    <w:p>
      <w:pPr>
        <w:pStyle w:val="11"/>
        <w:spacing w:before="93"/>
        <w:ind w:left="1186"/>
      </w:pPr>
      <w:r>
        <w:rPr>
          <w:rFonts w:ascii="Times New Roman" w:eastAsia="Times New Roman"/>
          <w:u w:val="single"/>
        </w:rPr>
        <w:t xml:space="preserve">  13.2.1</w:t>
      </w:r>
      <w:r>
        <w:rPr>
          <w:u w:val="single"/>
        </w:rPr>
        <w:t>投标函</w:t>
      </w:r>
    </w:p>
    <w:p>
      <w:pPr>
        <w:pStyle w:val="11"/>
        <w:spacing w:before="93"/>
        <w:ind w:left="1186"/>
      </w:pPr>
      <w:r>
        <w:rPr>
          <w:rFonts w:ascii="Times New Roman" w:eastAsia="Times New Roman"/>
          <w:u w:val="single"/>
        </w:rPr>
        <w:t xml:space="preserve">  13.2.2</w:t>
      </w:r>
      <w:r>
        <w:rPr>
          <w:u w:val="single"/>
        </w:rPr>
        <w:t>投标报价计算书</w:t>
      </w:r>
    </w:p>
    <w:p>
      <w:pPr>
        <w:pStyle w:val="10"/>
        <w:numPr>
          <w:ilvl w:val="1"/>
          <w:numId w:val="7"/>
        </w:numPr>
        <w:tabs>
          <w:tab w:val="left" w:pos="1847"/>
        </w:tabs>
        <w:spacing w:before="91" w:after="0" w:line="240" w:lineRule="auto"/>
        <w:ind w:left="1846" w:right="0" w:hanging="541"/>
        <w:jc w:val="left"/>
      </w:pPr>
      <w:r>
        <w:rPr>
          <w:u w:val="single"/>
        </w:rPr>
        <w:t>资格标包括以下内容：</w:t>
      </w:r>
    </w:p>
    <w:p>
      <w:pPr>
        <w:pStyle w:val="11"/>
        <w:spacing w:before="93"/>
        <w:ind w:left="1306"/>
      </w:pPr>
      <w:r>
        <w:rPr>
          <w:rFonts w:ascii="Times New Roman" w:eastAsia="Times New Roman"/>
          <w:u w:val="single"/>
        </w:rPr>
        <w:t xml:space="preserve">  13.3.1 </w:t>
      </w:r>
      <w:r>
        <w:rPr>
          <w:u w:val="single"/>
        </w:rPr>
        <w:t>资格后审申请书</w:t>
      </w:r>
    </w:p>
    <w:p>
      <w:pPr>
        <w:pStyle w:val="11"/>
        <w:spacing w:before="94"/>
        <w:ind w:left="1306"/>
      </w:pPr>
      <w:r>
        <w:rPr>
          <w:rFonts w:ascii="Times New Roman" w:eastAsia="Times New Roman"/>
          <w:u w:val="single"/>
        </w:rPr>
        <w:t xml:space="preserve">  13.3.2 </w:t>
      </w:r>
      <w:r>
        <w:rPr>
          <w:u w:val="single"/>
        </w:rPr>
        <w:t>法定代表人资格证明书</w:t>
      </w:r>
    </w:p>
    <w:p>
      <w:pPr>
        <w:pStyle w:val="11"/>
        <w:spacing w:before="91"/>
        <w:ind w:left="1306"/>
      </w:pPr>
      <w:r>
        <w:rPr>
          <w:rFonts w:ascii="Times New Roman" w:eastAsia="Times New Roman"/>
          <w:u w:val="single"/>
        </w:rPr>
        <w:t xml:space="preserve">  13.3.3 </w:t>
      </w:r>
      <w:r>
        <w:rPr>
          <w:u w:val="single"/>
        </w:rPr>
        <w:t>营业执照副本复印件、企业资质证书副本复印件</w:t>
      </w:r>
    </w:p>
    <w:p>
      <w:pPr>
        <w:pStyle w:val="11"/>
        <w:spacing w:before="93"/>
        <w:ind w:left="1306"/>
      </w:pPr>
      <w:r>
        <w:rPr>
          <w:rFonts w:ascii="Times New Roman" w:eastAsia="Times New Roman"/>
          <w:u w:val="single"/>
        </w:rPr>
        <w:t xml:space="preserve">  13.3.4 </w:t>
      </w:r>
      <w:r>
        <w:rPr>
          <w:u w:val="single"/>
        </w:rPr>
        <w:t>项目监理人员配备表</w:t>
      </w:r>
    </w:p>
    <w:p>
      <w:pPr>
        <w:pStyle w:val="11"/>
        <w:spacing w:before="93"/>
        <w:ind w:left="1306"/>
      </w:pPr>
      <w:r>
        <w:rPr>
          <w:rFonts w:ascii="Times New Roman" w:eastAsia="Times New Roman"/>
          <w:u w:val="single"/>
        </w:rPr>
        <w:t xml:space="preserve">  13.3.5 </w:t>
      </w:r>
      <w:r>
        <w:rPr>
          <w:u w:val="single"/>
        </w:rPr>
        <w:t>项目总监理工程师的注册证书复印件</w:t>
      </w:r>
    </w:p>
    <w:p>
      <w:pPr>
        <w:pStyle w:val="18"/>
        <w:numPr>
          <w:ilvl w:val="2"/>
          <w:numId w:val="7"/>
        </w:numPr>
        <w:tabs>
          <w:tab w:val="left" w:pos="1908"/>
        </w:tabs>
        <w:spacing w:before="91" w:after="0" w:line="240" w:lineRule="auto"/>
        <w:ind w:left="1907" w:right="0" w:hanging="602"/>
        <w:jc w:val="left"/>
        <w:rPr>
          <w:sz w:val="24"/>
        </w:rPr>
      </w:pPr>
      <w:r>
        <w:rPr>
          <w:sz w:val="24"/>
          <w:u w:val="single"/>
        </w:rPr>
        <w:t>项目管理人员配备表中其他人员相关证书、劳动合同等复印件</w:t>
      </w:r>
    </w:p>
    <w:p>
      <w:pPr>
        <w:pStyle w:val="18"/>
        <w:numPr>
          <w:ilvl w:val="2"/>
          <w:numId w:val="7"/>
        </w:numPr>
        <w:tabs>
          <w:tab w:val="left" w:pos="2027"/>
        </w:tabs>
        <w:spacing w:before="57" w:after="0" w:line="240" w:lineRule="auto"/>
        <w:ind w:left="2026" w:right="0" w:hanging="721"/>
        <w:jc w:val="left"/>
        <w:rPr>
          <w:sz w:val="24"/>
        </w:rPr>
      </w:pPr>
      <w:r>
        <w:rPr>
          <w:sz w:val="24"/>
          <w:u w:val="single"/>
        </w:rPr>
        <w:t>本工程拟投入主要检测工具、设备一览表</w:t>
      </w:r>
    </w:p>
    <w:p>
      <w:pPr>
        <w:pStyle w:val="18"/>
        <w:numPr>
          <w:ilvl w:val="2"/>
          <w:numId w:val="7"/>
        </w:numPr>
        <w:tabs>
          <w:tab w:val="left" w:pos="1967"/>
        </w:tabs>
        <w:spacing w:before="84" w:after="0" w:line="364" w:lineRule="auto"/>
        <w:ind w:left="826" w:right="1111" w:firstLine="480"/>
        <w:jc w:val="both"/>
      </w:pPr>
      <w:r>
        <w:rPr>
          <w:spacing w:val="-1"/>
          <w:sz w:val="24"/>
          <w:u w:val="single"/>
        </w:rPr>
        <w:t>投标保证金为现金形式的，须提供投标人的中国人民银行颁发的基本账户</w:t>
      </w:r>
      <w:r>
        <w:rPr>
          <w:spacing w:val="-220"/>
          <w:sz w:val="24"/>
          <w:u w:val="single"/>
        </w:rPr>
        <w:t>开</w:t>
      </w:r>
      <w:r>
        <w:rPr>
          <w:spacing w:val="-3"/>
          <w:sz w:val="24"/>
          <w:u w:val="single"/>
        </w:rPr>
        <w:t>户许可证（</w:t>
      </w:r>
      <w:r>
        <w:rPr>
          <w:sz w:val="24"/>
          <w:u w:val="single"/>
        </w:rPr>
        <w:t>或基本账户开户银行出具的能体现基本账户的证明材料</w:t>
      </w:r>
      <w:r>
        <w:rPr>
          <w:spacing w:val="-12"/>
          <w:sz w:val="24"/>
          <w:u w:val="single"/>
        </w:rPr>
        <w:t>）</w:t>
      </w:r>
      <w:r>
        <w:rPr>
          <w:spacing w:val="-3"/>
          <w:sz w:val="24"/>
          <w:u w:val="single"/>
        </w:rPr>
        <w:t>复印件；投标保证金为银行保函或者保险公司保单形式的，须提供银行保函或者保险公司保单</w:t>
      </w:r>
      <w:r>
        <w:rPr>
          <w:u w:val="single"/>
        </w:rPr>
        <w:t>以上涉及的证书等相关资料的复印件必须加盖公章且在有效期内。</w:t>
      </w:r>
    </w:p>
    <w:p>
      <w:pPr>
        <w:pStyle w:val="10"/>
        <w:numPr>
          <w:ilvl w:val="0"/>
          <w:numId w:val="6"/>
        </w:numPr>
        <w:tabs>
          <w:tab w:val="left" w:pos="1187"/>
        </w:tabs>
        <w:spacing w:before="144" w:after="0" w:line="240" w:lineRule="auto"/>
        <w:ind w:left="1186" w:right="0" w:hanging="361"/>
        <w:jc w:val="left"/>
        <w:rPr>
          <w:rFonts w:ascii="Times New Roman" w:eastAsia="Times New Roman"/>
        </w:rPr>
      </w:pPr>
      <w:r>
        <w:t>投标报价</w:t>
      </w:r>
    </w:p>
    <w:p>
      <w:pPr>
        <w:pStyle w:val="18"/>
        <w:numPr>
          <w:ilvl w:val="1"/>
          <w:numId w:val="6"/>
        </w:numPr>
        <w:tabs>
          <w:tab w:val="left" w:pos="1727"/>
        </w:tabs>
        <w:spacing w:before="47" w:after="0" w:line="278" w:lineRule="auto"/>
        <w:ind w:left="826" w:right="1111" w:firstLine="360"/>
        <w:jc w:val="left"/>
        <w:rPr>
          <w:sz w:val="24"/>
        </w:rPr>
      </w:pPr>
      <w:r>
        <w:rPr>
          <w:spacing w:val="-1"/>
          <w:sz w:val="24"/>
        </w:rPr>
        <w:t>投标报价应是招标文件所确定的招标范围内全部工作内容的价格表现。其应</w:t>
      </w:r>
      <w:r>
        <w:rPr>
          <w:spacing w:val="-6"/>
          <w:sz w:val="24"/>
        </w:rPr>
        <w:t>包括劳务、管理、保险、利润、税金、政策性文件规定及合同包含的所有风险、责任</w:t>
      </w:r>
    </w:p>
    <w:p>
      <w:pPr>
        <w:spacing w:after="0" w:line="278" w:lineRule="auto"/>
        <w:jc w:val="left"/>
        <w:rPr>
          <w:sz w:val="24"/>
        </w:rPr>
        <w:sectPr>
          <w:footerReference r:id="rId4" w:type="default"/>
          <w:pgSz w:w="11910" w:h="16840"/>
          <w:pgMar w:top="1580" w:right="360" w:bottom="1300" w:left="760" w:header="0" w:footer="1109" w:gutter="0"/>
          <w:pgNumType w:start="10"/>
        </w:sectPr>
      </w:pPr>
    </w:p>
    <w:p>
      <w:pPr>
        <w:pStyle w:val="11"/>
        <w:rPr>
          <w:sz w:val="20"/>
        </w:rPr>
      </w:pPr>
    </w:p>
    <w:p>
      <w:pPr>
        <w:pStyle w:val="11"/>
        <w:spacing w:before="8"/>
        <w:rPr>
          <w:sz w:val="16"/>
        </w:rPr>
      </w:pPr>
    </w:p>
    <w:p>
      <w:pPr>
        <w:pStyle w:val="11"/>
        <w:spacing w:before="74" w:line="278" w:lineRule="auto"/>
        <w:ind w:left="826" w:right="1113"/>
        <w:jc w:val="both"/>
      </w:pPr>
      <w:r>
        <w:t xml:space="preserve">等各项费用。投标人应在前附表第 </w:t>
      </w:r>
      <w:r>
        <w:rPr>
          <w:rFonts w:ascii="Times New Roman" w:eastAsia="Times New Roman"/>
        </w:rPr>
        <w:t xml:space="preserve">11 </w:t>
      </w:r>
      <w:r>
        <w:t>项规定的范围内报价，投标报价超出上述规定的报价范围的，该投标作无效标处理。</w:t>
      </w:r>
    </w:p>
    <w:p>
      <w:pPr>
        <w:pStyle w:val="18"/>
        <w:numPr>
          <w:ilvl w:val="1"/>
          <w:numId w:val="6"/>
        </w:numPr>
        <w:tabs>
          <w:tab w:val="left" w:pos="1787"/>
        </w:tabs>
        <w:spacing w:before="0" w:after="0" w:line="264" w:lineRule="auto"/>
        <w:ind w:left="826" w:right="1111" w:firstLine="360"/>
        <w:jc w:val="both"/>
        <w:rPr>
          <w:sz w:val="24"/>
        </w:rPr>
      </w:pPr>
      <w:r>
        <w:rPr>
          <w:spacing w:val="-5"/>
          <w:sz w:val="24"/>
        </w:rPr>
        <w:t>投标人可自行到工地踏勘以充分了解工地位置、情况、道路、储存空间、装</w:t>
      </w:r>
      <w:r>
        <w:rPr>
          <w:sz w:val="24"/>
        </w:rPr>
        <w:t>卸限制及任何其他足以影响投标报价的情况,任何因忽视或误解工地情况而导致的索赔申请将不被批准。</w:t>
      </w:r>
    </w:p>
    <w:p>
      <w:pPr>
        <w:pStyle w:val="18"/>
        <w:numPr>
          <w:ilvl w:val="1"/>
          <w:numId w:val="6"/>
        </w:numPr>
        <w:tabs>
          <w:tab w:val="left" w:pos="1787"/>
        </w:tabs>
        <w:spacing w:before="0" w:after="0" w:line="240" w:lineRule="auto"/>
        <w:ind w:left="1786" w:right="0" w:hanging="601"/>
        <w:jc w:val="both"/>
        <w:rPr>
          <w:sz w:val="24"/>
        </w:rPr>
      </w:pPr>
      <w:r>
        <w:rPr>
          <w:sz w:val="24"/>
        </w:rPr>
        <w:t>投标文件报价中的单价和合价等全部采用人民币表示。</w:t>
      </w:r>
    </w:p>
    <w:p>
      <w:pPr>
        <w:pStyle w:val="10"/>
        <w:numPr>
          <w:ilvl w:val="0"/>
          <w:numId w:val="6"/>
        </w:numPr>
        <w:tabs>
          <w:tab w:val="left" w:pos="1187"/>
        </w:tabs>
        <w:spacing w:before="91" w:after="0" w:line="240" w:lineRule="auto"/>
        <w:ind w:left="1186" w:right="0" w:hanging="361"/>
        <w:jc w:val="both"/>
        <w:rPr>
          <w:rFonts w:ascii="Times New Roman" w:eastAsia="Times New Roman"/>
        </w:rPr>
      </w:pPr>
      <w:r>
        <w:t>投标有效期</w:t>
      </w:r>
    </w:p>
    <w:p>
      <w:pPr>
        <w:pStyle w:val="18"/>
        <w:numPr>
          <w:ilvl w:val="1"/>
          <w:numId w:val="6"/>
        </w:numPr>
        <w:tabs>
          <w:tab w:val="left" w:pos="1847"/>
        </w:tabs>
        <w:spacing w:before="76" w:after="0" w:line="297" w:lineRule="auto"/>
        <w:ind w:left="826" w:right="1111" w:firstLine="480"/>
        <w:jc w:val="both"/>
        <w:rPr>
          <w:sz w:val="24"/>
        </w:rPr>
      </w:pPr>
      <w:r>
        <w:rPr>
          <w:spacing w:val="-3"/>
          <w:sz w:val="24"/>
        </w:rPr>
        <w:t xml:space="preserve">投标有效期见本投标人须知前附表第 </w:t>
      </w:r>
      <w:r>
        <w:rPr>
          <w:sz w:val="24"/>
        </w:rPr>
        <w:t>12</w:t>
      </w:r>
      <w:r>
        <w:rPr>
          <w:spacing w:val="-9"/>
          <w:sz w:val="24"/>
        </w:rPr>
        <w:t xml:space="preserve"> 项所规定的期限，在此期限内，凡</w:t>
      </w:r>
      <w:r>
        <w:rPr>
          <w:spacing w:val="-3"/>
          <w:sz w:val="24"/>
        </w:rPr>
        <w:t>符合本招标文件要求的投标文件均保持有效，且投标人不得要求撤销或修改其投标文</w:t>
      </w:r>
      <w:r>
        <w:rPr>
          <w:sz w:val="24"/>
        </w:rPr>
        <w:t>件。</w:t>
      </w:r>
    </w:p>
    <w:p>
      <w:pPr>
        <w:pStyle w:val="18"/>
        <w:numPr>
          <w:ilvl w:val="1"/>
          <w:numId w:val="6"/>
        </w:numPr>
        <w:tabs>
          <w:tab w:val="left" w:pos="1847"/>
        </w:tabs>
        <w:spacing w:before="0" w:after="0" w:line="297" w:lineRule="auto"/>
        <w:ind w:left="826" w:right="1092" w:firstLine="480"/>
        <w:jc w:val="both"/>
        <w:rPr>
          <w:sz w:val="24"/>
        </w:rPr>
      </w:pPr>
      <w:r>
        <w:rPr>
          <w:spacing w:val="-10"/>
          <w:sz w:val="24"/>
        </w:rPr>
        <w:t>在特殊情况下，招标人在原定投标有效期内，可以根据需要以书面形式向投</w:t>
      </w:r>
      <w:r>
        <w:rPr>
          <w:spacing w:val="-12"/>
          <w:sz w:val="24"/>
        </w:rPr>
        <w:t>标人提出延长投标有效期的要求，对此要求投标人须以书面形式予以答复。投标人可</w:t>
      </w:r>
      <w:r>
        <w:rPr>
          <w:spacing w:val="-13"/>
          <w:sz w:val="24"/>
        </w:rPr>
        <w:t>以拒绝招标人这种要求，</w:t>
      </w:r>
      <w:r>
        <w:rPr>
          <w:b/>
          <w:spacing w:val="-4"/>
          <w:sz w:val="24"/>
        </w:rPr>
        <w:t>但其投标失效，投标人有权收回其投标保证金。</w:t>
      </w:r>
      <w:r>
        <w:rPr>
          <w:spacing w:val="-3"/>
          <w:sz w:val="24"/>
        </w:rPr>
        <w:t>同意延长投</w:t>
      </w:r>
      <w:r>
        <w:rPr>
          <w:spacing w:val="-2"/>
          <w:sz w:val="24"/>
        </w:rPr>
        <w:t>标有效期的投标人既不能要求也不允许修改其投标文件，但需要相应的延长投标保证</w:t>
      </w:r>
      <w:r>
        <w:rPr>
          <w:spacing w:val="-4"/>
          <w:sz w:val="24"/>
        </w:rPr>
        <w:t xml:space="preserve">金的有效期，在延长的投标有效期内，本须知第 </w:t>
      </w:r>
      <w:r>
        <w:rPr>
          <w:sz w:val="24"/>
        </w:rPr>
        <w:t>16</w:t>
      </w:r>
      <w:r>
        <w:rPr>
          <w:spacing w:val="-6"/>
          <w:sz w:val="24"/>
        </w:rPr>
        <w:t xml:space="preserve"> 条关于投标保证金的退还的规定仍然适用。</w:t>
      </w:r>
    </w:p>
    <w:p>
      <w:pPr>
        <w:pStyle w:val="10"/>
        <w:numPr>
          <w:ilvl w:val="0"/>
          <w:numId w:val="6"/>
        </w:numPr>
        <w:tabs>
          <w:tab w:val="left" w:pos="1187"/>
        </w:tabs>
        <w:spacing w:before="22" w:after="0" w:line="240" w:lineRule="auto"/>
        <w:ind w:left="1186" w:right="0" w:hanging="361"/>
        <w:jc w:val="both"/>
        <w:rPr>
          <w:rFonts w:ascii="Times New Roman" w:eastAsia="Times New Roman"/>
        </w:rPr>
      </w:pPr>
      <w:r>
        <w:t>投标保证金</w:t>
      </w:r>
    </w:p>
    <w:p>
      <w:pPr>
        <w:pStyle w:val="18"/>
        <w:numPr>
          <w:ilvl w:val="1"/>
          <w:numId w:val="6"/>
        </w:numPr>
        <w:tabs>
          <w:tab w:val="left" w:pos="1847"/>
        </w:tabs>
        <w:spacing w:before="77" w:after="0" w:line="297" w:lineRule="auto"/>
        <w:ind w:left="826" w:right="1111" w:firstLine="480"/>
        <w:jc w:val="both"/>
        <w:rPr>
          <w:sz w:val="24"/>
        </w:rPr>
      </w:pPr>
      <w:r>
        <w:rPr>
          <w:spacing w:val="-4"/>
          <w:sz w:val="24"/>
        </w:rPr>
        <w:t xml:space="preserve">投标人应按投标人须知前附表第 </w:t>
      </w:r>
      <w:r>
        <w:rPr>
          <w:sz w:val="24"/>
        </w:rPr>
        <w:t>13</w:t>
      </w:r>
      <w:r>
        <w:rPr>
          <w:spacing w:val="-9"/>
          <w:sz w:val="24"/>
        </w:rPr>
        <w:t xml:space="preserve"> 项的规定，在投标保证金到账截止时间</w:t>
      </w:r>
      <w:r>
        <w:rPr>
          <w:spacing w:val="-3"/>
          <w:sz w:val="24"/>
        </w:rPr>
        <w:t>之前，将投标保证金由</w:t>
      </w:r>
      <w:r>
        <w:rPr>
          <w:sz w:val="24"/>
          <w:u w:val="single"/>
        </w:rPr>
        <w:t>投标人的基本账户</w:t>
      </w:r>
      <w:r>
        <w:rPr>
          <w:spacing w:val="-2"/>
          <w:sz w:val="24"/>
        </w:rPr>
        <w:t>一次性汇入</w:t>
      </w:r>
      <w:r>
        <w:rPr>
          <w:sz w:val="24"/>
        </w:rPr>
        <w:t>（或转入</w:t>
      </w:r>
      <w:r>
        <w:rPr>
          <w:spacing w:val="-10"/>
          <w:sz w:val="24"/>
        </w:rPr>
        <w:t>）</w:t>
      </w:r>
      <w:r>
        <w:rPr>
          <w:spacing w:val="-3"/>
          <w:sz w:val="24"/>
        </w:rPr>
        <w:t>招标人指定账户。投标人以银行保函或者保险公司保单形式提交投标保证金的，则应按投标人须知前附表</w:t>
      </w:r>
      <w:r>
        <w:rPr>
          <w:spacing w:val="-16"/>
          <w:sz w:val="24"/>
        </w:rPr>
        <w:t xml:space="preserve">第 </w:t>
      </w:r>
      <w:r>
        <w:rPr>
          <w:sz w:val="24"/>
        </w:rPr>
        <w:t>13</w:t>
      </w:r>
      <w:r>
        <w:rPr>
          <w:spacing w:val="-6"/>
          <w:sz w:val="24"/>
        </w:rPr>
        <w:t xml:space="preserve"> 项的规定提供银行保函或者保险公司保单，并将保函</w:t>
      </w:r>
      <w:r>
        <w:rPr>
          <w:sz w:val="24"/>
        </w:rPr>
        <w:t>（保单）装订在纸质资格标中。否则视为未提交投标保证金。</w:t>
      </w:r>
    </w:p>
    <w:p>
      <w:pPr>
        <w:pStyle w:val="18"/>
        <w:numPr>
          <w:ilvl w:val="1"/>
          <w:numId w:val="6"/>
        </w:numPr>
        <w:tabs>
          <w:tab w:val="left" w:pos="1847"/>
        </w:tabs>
        <w:spacing w:before="0" w:after="0" w:line="297" w:lineRule="auto"/>
        <w:ind w:left="826" w:right="1111" w:firstLine="480"/>
        <w:jc w:val="both"/>
        <w:rPr>
          <w:sz w:val="24"/>
        </w:rPr>
      </w:pPr>
      <w:r>
        <w:rPr>
          <w:spacing w:val="-9"/>
          <w:sz w:val="24"/>
        </w:rPr>
        <w:t>投标人未提交投标保证金的，招标人将视为不响应招标文件而拒收其投标文</w:t>
      </w:r>
      <w:r>
        <w:rPr>
          <w:sz w:val="24"/>
        </w:rPr>
        <w:t>件。</w:t>
      </w:r>
    </w:p>
    <w:p>
      <w:pPr>
        <w:pStyle w:val="18"/>
        <w:numPr>
          <w:ilvl w:val="1"/>
          <w:numId w:val="6"/>
        </w:numPr>
        <w:tabs>
          <w:tab w:val="left" w:pos="1847"/>
        </w:tabs>
        <w:spacing w:before="0" w:after="0" w:line="297" w:lineRule="auto"/>
        <w:ind w:left="826" w:right="1111" w:firstLine="480"/>
        <w:jc w:val="both"/>
        <w:rPr>
          <w:sz w:val="24"/>
        </w:rPr>
      </w:pPr>
      <w:r>
        <w:rPr>
          <w:spacing w:val="-5"/>
          <w:sz w:val="24"/>
        </w:rPr>
        <w:t>除第一中标候选人外投标人的投标保证金在中标公示结束后，由招标人统一</w:t>
      </w:r>
      <w:r>
        <w:rPr>
          <w:spacing w:val="-7"/>
          <w:sz w:val="24"/>
        </w:rPr>
        <w:t>不计息退还。公示结束后，有异议、投诉的，投标保证金根据异议、投诉处理结果办</w:t>
      </w:r>
      <w:r>
        <w:rPr>
          <w:sz w:val="24"/>
        </w:rPr>
        <w:t>理。</w:t>
      </w:r>
    </w:p>
    <w:p>
      <w:pPr>
        <w:pStyle w:val="18"/>
        <w:numPr>
          <w:ilvl w:val="1"/>
          <w:numId w:val="6"/>
        </w:numPr>
        <w:tabs>
          <w:tab w:val="left" w:pos="1847"/>
        </w:tabs>
        <w:spacing w:before="0" w:after="0" w:line="304" w:lineRule="exact"/>
        <w:ind w:left="1846" w:right="0" w:hanging="541"/>
        <w:jc w:val="both"/>
        <w:rPr>
          <w:sz w:val="24"/>
        </w:rPr>
      </w:pPr>
      <w:r>
        <w:rPr>
          <w:sz w:val="24"/>
        </w:rPr>
        <w:t>中标人的投标保证金将在其提交履约保证金后不计息退还。</w:t>
      </w:r>
    </w:p>
    <w:p>
      <w:pPr>
        <w:pStyle w:val="18"/>
        <w:numPr>
          <w:ilvl w:val="1"/>
          <w:numId w:val="6"/>
        </w:numPr>
        <w:tabs>
          <w:tab w:val="left" w:pos="1847"/>
        </w:tabs>
        <w:spacing w:before="62" w:after="0" w:line="240" w:lineRule="auto"/>
        <w:ind w:left="1846" w:right="0" w:hanging="541"/>
        <w:jc w:val="both"/>
        <w:rPr>
          <w:sz w:val="24"/>
        </w:rPr>
      </w:pPr>
      <w:r>
        <w:rPr>
          <w:sz w:val="24"/>
        </w:rPr>
        <w:t>如投标人有下列情况之一的，招标人可不予退还其投标保证金：</w:t>
      </w:r>
    </w:p>
    <w:p>
      <w:pPr>
        <w:pStyle w:val="10"/>
        <w:numPr>
          <w:ilvl w:val="2"/>
          <w:numId w:val="6"/>
        </w:numPr>
        <w:tabs>
          <w:tab w:val="left" w:pos="2092"/>
        </w:tabs>
        <w:spacing w:before="74" w:after="0" w:line="240" w:lineRule="auto"/>
        <w:ind w:left="2091" w:right="0" w:hanging="786"/>
        <w:jc w:val="both"/>
      </w:pPr>
      <w:r>
        <w:t>投标人在投标有效期内撤销其投标文件的；</w:t>
      </w:r>
    </w:p>
    <w:p>
      <w:pPr>
        <w:pStyle w:val="18"/>
        <w:numPr>
          <w:ilvl w:val="2"/>
          <w:numId w:val="6"/>
        </w:numPr>
        <w:tabs>
          <w:tab w:val="left" w:pos="2096"/>
        </w:tabs>
        <w:spacing w:before="71" w:after="0" w:line="295" w:lineRule="auto"/>
        <w:ind w:left="826" w:right="1080" w:firstLine="480"/>
        <w:jc w:val="both"/>
        <w:rPr>
          <w:b/>
          <w:sz w:val="24"/>
        </w:rPr>
      </w:pPr>
      <w:r>
        <w:rPr>
          <w:b/>
          <w:spacing w:val="3"/>
          <w:w w:val="95"/>
          <w:sz w:val="24"/>
        </w:rPr>
        <w:t xml:space="preserve">中标人未能在中标通知书规定的时间内提交合同履约保证金或签署合同  </w:t>
      </w:r>
      <w:r>
        <w:rPr>
          <w:b/>
          <w:spacing w:val="3"/>
          <w:sz w:val="24"/>
        </w:rPr>
        <w:t>的；</w:t>
      </w:r>
    </w:p>
    <w:p>
      <w:pPr>
        <w:pStyle w:val="18"/>
        <w:numPr>
          <w:ilvl w:val="2"/>
          <w:numId w:val="6"/>
        </w:numPr>
        <w:tabs>
          <w:tab w:val="left" w:pos="2089"/>
        </w:tabs>
        <w:spacing w:before="19" w:after="0" w:line="240" w:lineRule="auto"/>
        <w:ind w:left="2088" w:right="0" w:hanging="785"/>
        <w:jc w:val="both"/>
        <w:rPr>
          <w:b/>
          <w:sz w:val="24"/>
        </w:rPr>
      </w:pPr>
      <w:r>
        <w:rPr>
          <w:b/>
          <w:sz w:val="24"/>
        </w:rPr>
        <w:t>投标人在投标期间内有串标、弄虚作假等行为的。</w:t>
      </w:r>
    </w:p>
    <w:p>
      <w:pPr>
        <w:spacing w:after="0" w:line="240" w:lineRule="auto"/>
        <w:jc w:val="both"/>
        <w:rPr>
          <w:sz w:val="24"/>
        </w:rPr>
        <w:sectPr>
          <w:pgSz w:w="11910" w:h="16840"/>
          <w:pgMar w:top="1580" w:right="360" w:bottom="1300" w:left="760" w:header="0" w:footer="1109" w:gutter="0"/>
        </w:sectPr>
      </w:pPr>
    </w:p>
    <w:p>
      <w:pPr>
        <w:pStyle w:val="11"/>
        <w:rPr>
          <w:b/>
          <w:sz w:val="20"/>
        </w:rPr>
      </w:pPr>
    </w:p>
    <w:p>
      <w:pPr>
        <w:pStyle w:val="11"/>
        <w:spacing w:before="1"/>
        <w:rPr>
          <w:b/>
          <w:sz w:val="20"/>
        </w:rPr>
      </w:pPr>
    </w:p>
    <w:p>
      <w:pPr>
        <w:pStyle w:val="18"/>
        <w:numPr>
          <w:ilvl w:val="0"/>
          <w:numId w:val="6"/>
        </w:numPr>
        <w:tabs>
          <w:tab w:val="left" w:pos="1247"/>
        </w:tabs>
        <w:spacing w:before="66" w:after="0" w:line="240" w:lineRule="auto"/>
        <w:ind w:left="1246" w:right="0" w:hanging="421"/>
        <w:jc w:val="both"/>
        <w:rPr>
          <w:b/>
          <w:sz w:val="24"/>
        </w:rPr>
      </w:pPr>
      <w:r>
        <w:rPr>
          <w:b/>
          <w:sz w:val="24"/>
        </w:rPr>
        <w:t>投标文件的编制</w:t>
      </w:r>
    </w:p>
    <w:p>
      <w:pPr>
        <w:pStyle w:val="18"/>
        <w:numPr>
          <w:ilvl w:val="1"/>
          <w:numId w:val="6"/>
        </w:numPr>
        <w:tabs>
          <w:tab w:val="left" w:pos="1847"/>
        </w:tabs>
        <w:spacing w:before="93" w:after="0" w:line="240" w:lineRule="auto"/>
        <w:ind w:left="1846" w:right="0" w:hanging="541"/>
        <w:jc w:val="both"/>
        <w:rPr>
          <w:sz w:val="24"/>
        </w:rPr>
      </w:pPr>
      <w:r>
        <w:rPr>
          <w:spacing w:val="-7"/>
          <w:sz w:val="24"/>
        </w:rPr>
        <w:t xml:space="preserve">投标人按本须知第 </w:t>
      </w:r>
      <w:r>
        <w:rPr>
          <w:sz w:val="24"/>
        </w:rPr>
        <w:t>13</w:t>
      </w:r>
      <w:r>
        <w:rPr>
          <w:spacing w:val="-8"/>
          <w:sz w:val="24"/>
        </w:rPr>
        <w:t xml:space="preserve"> 条规定及第五章“投标文件格式”进行编制。</w:t>
      </w:r>
    </w:p>
    <w:p>
      <w:pPr>
        <w:pStyle w:val="18"/>
        <w:numPr>
          <w:ilvl w:val="1"/>
          <w:numId w:val="6"/>
        </w:numPr>
        <w:tabs>
          <w:tab w:val="left" w:pos="1847"/>
        </w:tabs>
        <w:spacing w:before="94" w:after="0" w:line="312" w:lineRule="auto"/>
        <w:ind w:left="826" w:right="1080" w:firstLine="480"/>
        <w:jc w:val="both"/>
        <w:rPr>
          <w:sz w:val="24"/>
        </w:rPr>
      </w:pPr>
      <w:r>
        <w:rPr>
          <w:spacing w:val="-5"/>
          <w:sz w:val="24"/>
        </w:rPr>
        <w:t>投标文件应使用不能擦去的墨水打印或书写，字迹应清晰易于辨认。</w:t>
      </w:r>
      <w:r>
        <w:rPr>
          <w:b/>
          <w:sz w:val="24"/>
        </w:rPr>
        <w:t>投标文</w:t>
      </w:r>
      <w:r>
        <w:rPr>
          <w:b/>
          <w:spacing w:val="-6"/>
          <w:sz w:val="24"/>
        </w:rPr>
        <w:t>件中的商务标封面及投标函、资格后审申请文件封面及资格后审申请书均应加盖投标</w:t>
      </w:r>
      <w:r>
        <w:rPr>
          <w:b/>
          <w:spacing w:val="-7"/>
          <w:sz w:val="24"/>
        </w:rPr>
        <w:t>人公章，并由投标人的法定代表人签字</w:t>
      </w:r>
      <w:r>
        <w:rPr>
          <w:b/>
          <w:sz w:val="24"/>
        </w:rPr>
        <w:t>（或盖章</w:t>
      </w:r>
      <w:r>
        <w:rPr>
          <w:b/>
          <w:spacing w:val="-12"/>
          <w:sz w:val="24"/>
        </w:rPr>
        <w:t>）。</w:t>
      </w:r>
      <w:r>
        <w:rPr>
          <w:sz w:val="24"/>
        </w:rPr>
        <w:t>投标文件份数按投标人须知前附</w:t>
      </w:r>
      <w:r>
        <w:rPr>
          <w:spacing w:val="-20"/>
          <w:sz w:val="24"/>
        </w:rPr>
        <w:t xml:space="preserve">表第 </w:t>
      </w:r>
      <w:r>
        <w:rPr>
          <w:sz w:val="24"/>
        </w:rPr>
        <w:t>14</w:t>
      </w:r>
      <w:r>
        <w:rPr>
          <w:spacing w:val="-9"/>
          <w:sz w:val="24"/>
        </w:rPr>
        <w:t xml:space="preserve"> 项规定编制。</w:t>
      </w:r>
    </w:p>
    <w:p>
      <w:pPr>
        <w:pStyle w:val="18"/>
        <w:numPr>
          <w:ilvl w:val="1"/>
          <w:numId w:val="6"/>
        </w:numPr>
        <w:tabs>
          <w:tab w:val="left" w:pos="1847"/>
        </w:tabs>
        <w:spacing w:before="0" w:after="0" w:line="312" w:lineRule="auto"/>
        <w:ind w:left="826" w:right="1111" w:firstLine="480"/>
        <w:jc w:val="both"/>
        <w:rPr>
          <w:sz w:val="24"/>
        </w:rPr>
      </w:pPr>
      <w:r>
        <w:rPr>
          <w:spacing w:val="-9"/>
          <w:sz w:val="24"/>
        </w:rPr>
        <w:t>全套投标文件应无涂改、删除和行间插字，除非这些删改是根据招标人的指</w:t>
      </w:r>
      <w:r>
        <w:rPr>
          <w:spacing w:val="-3"/>
          <w:sz w:val="24"/>
        </w:rPr>
        <w:t>示进行的或者是投标人造成的必须修改的错误，修改处均应加盖投标人公章或由投标</w:t>
      </w:r>
      <w:r>
        <w:rPr>
          <w:sz w:val="24"/>
        </w:rPr>
        <w:t>人的法定代表人或其授权的委托代理人签字确认。</w:t>
      </w:r>
    </w:p>
    <w:p>
      <w:pPr>
        <w:pStyle w:val="18"/>
        <w:numPr>
          <w:ilvl w:val="1"/>
          <w:numId w:val="6"/>
        </w:numPr>
        <w:tabs>
          <w:tab w:val="left" w:pos="1847"/>
        </w:tabs>
        <w:spacing w:before="33" w:after="0" w:line="343" w:lineRule="auto"/>
        <w:ind w:left="826" w:right="1111" w:firstLine="480"/>
        <w:jc w:val="both"/>
        <w:rPr>
          <w:sz w:val="24"/>
        </w:rPr>
      </w:pPr>
      <w:r>
        <w:rPr>
          <w:spacing w:val="-5"/>
          <w:sz w:val="24"/>
        </w:rPr>
        <w:t>投标文件中以文字表示的量与以数字表示的量不一致时，以文字表示的量为</w:t>
      </w:r>
      <w:r>
        <w:rPr>
          <w:sz w:val="24"/>
        </w:rPr>
        <w:t>准。</w:t>
      </w:r>
    </w:p>
    <w:p>
      <w:pPr>
        <w:spacing w:after="0" w:line="343" w:lineRule="auto"/>
        <w:jc w:val="both"/>
        <w:rPr>
          <w:sz w:val="24"/>
        </w:rPr>
        <w:sectPr>
          <w:pgSz w:w="11910" w:h="16840"/>
          <w:pgMar w:top="1580" w:right="360" w:bottom="1300" w:left="760" w:header="0" w:footer="1109" w:gutter="0"/>
        </w:sectPr>
      </w:pPr>
    </w:p>
    <w:p>
      <w:pPr>
        <w:pStyle w:val="11"/>
        <w:spacing w:before="10"/>
        <w:rPr>
          <w:sz w:val="31"/>
        </w:rPr>
      </w:pPr>
    </w:p>
    <w:p>
      <w:pPr>
        <w:pStyle w:val="10"/>
        <w:numPr>
          <w:ilvl w:val="0"/>
          <w:numId w:val="6"/>
        </w:numPr>
        <w:tabs>
          <w:tab w:val="left" w:pos="1247"/>
        </w:tabs>
        <w:spacing w:before="0" w:after="0" w:line="240" w:lineRule="auto"/>
        <w:ind w:left="1246" w:right="0" w:hanging="421"/>
        <w:jc w:val="left"/>
      </w:pPr>
      <w:r>
        <w:rPr>
          <w:spacing w:val="-2"/>
        </w:rPr>
        <w:t>投标文件的密封与标识</w:t>
      </w:r>
    </w:p>
    <w:p>
      <w:pPr>
        <w:tabs>
          <w:tab w:val="left" w:pos="1131"/>
        </w:tabs>
        <w:spacing w:before="0" w:line="318" w:lineRule="exact"/>
        <w:ind w:left="8" w:right="0" w:firstLine="0"/>
        <w:jc w:val="left"/>
        <w:rPr>
          <w:b/>
          <w:sz w:val="28"/>
        </w:rPr>
      </w:pPr>
      <w:r>
        <w:br w:type="column"/>
      </w:r>
      <w:r>
        <w:rPr>
          <w:b/>
          <w:sz w:val="28"/>
        </w:rPr>
        <w:t>第五节</w:t>
      </w:r>
      <w:r>
        <w:rPr>
          <w:b/>
          <w:sz w:val="28"/>
        </w:rPr>
        <w:tab/>
      </w:r>
      <w:r>
        <w:rPr>
          <w:b/>
          <w:sz w:val="28"/>
        </w:rPr>
        <w:t>投标文件的递交</w:t>
      </w:r>
    </w:p>
    <w:p>
      <w:pPr>
        <w:spacing w:after="0" w:line="318" w:lineRule="exact"/>
        <w:jc w:val="left"/>
        <w:rPr>
          <w:sz w:val="28"/>
        </w:rPr>
        <w:sectPr>
          <w:type w:val="continuous"/>
          <w:pgSz w:w="11910" w:h="16840"/>
          <w:pgMar w:top="1580" w:right="360" w:bottom="1220" w:left="760" w:header="720" w:footer="720" w:gutter="0"/>
          <w:cols w:equalWidth="0" w:num="2">
            <w:col w:w="3656" w:space="40"/>
            <w:col w:w="7094"/>
          </w:cols>
        </w:sectPr>
      </w:pPr>
    </w:p>
    <w:p>
      <w:pPr>
        <w:pStyle w:val="18"/>
        <w:numPr>
          <w:ilvl w:val="1"/>
          <w:numId w:val="6"/>
        </w:numPr>
        <w:tabs>
          <w:tab w:val="left" w:pos="1847"/>
        </w:tabs>
        <w:spacing w:before="93" w:after="0" w:line="312" w:lineRule="auto"/>
        <w:ind w:left="826" w:right="1111" w:firstLine="480"/>
        <w:jc w:val="left"/>
        <w:rPr>
          <w:sz w:val="24"/>
        </w:rPr>
      </w:pPr>
      <w:r>
        <w:rPr>
          <w:sz w:val="24"/>
        </w:rPr>
        <w:t>投标人应将投标文件的</w:t>
      </w:r>
      <w:r>
        <w:rPr>
          <w:spacing w:val="-8"/>
          <w:sz w:val="24"/>
          <w:u w:val="single"/>
        </w:rPr>
        <w:t>商务标、资格标</w:t>
      </w:r>
      <w:r>
        <w:rPr>
          <w:spacing w:val="-7"/>
          <w:sz w:val="24"/>
        </w:rPr>
        <w:t>按要求分别密封，在密封袋上正确标</w:t>
      </w:r>
      <w:r>
        <w:rPr>
          <w:sz w:val="24"/>
        </w:rPr>
        <w:t>明</w:t>
      </w:r>
      <w:r>
        <w:rPr>
          <w:sz w:val="24"/>
          <w:u w:val="single"/>
        </w:rPr>
        <w:t>“商务标”或“资格标”</w:t>
      </w:r>
      <w:r>
        <w:rPr>
          <w:sz w:val="24"/>
        </w:rPr>
        <w:t>、“工程名称”和“投标人名称”。</w:t>
      </w:r>
    </w:p>
    <w:p>
      <w:pPr>
        <w:pStyle w:val="18"/>
        <w:numPr>
          <w:ilvl w:val="1"/>
          <w:numId w:val="6"/>
        </w:numPr>
        <w:tabs>
          <w:tab w:val="left" w:pos="1847"/>
        </w:tabs>
        <w:spacing w:before="0" w:after="0" w:line="307" w:lineRule="exact"/>
        <w:ind w:left="1846" w:right="0" w:hanging="541"/>
        <w:jc w:val="left"/>
        <w:rPr>
          <w:sz w:val="24"/>
        </w:rPr>
      </w:pPr>
      <w:r>
        <w:rPr>
          <w:sz w:val="24"/>
          <w:u w:val="single"/>
        </w:rPr>
        <w:t>密封袋封口接缝处封条粘贴，并在交接处加盖投标人公章。</w:t>
      </w:r>
    </w:p>
    <w:p>
      <w:pPr>
        <w:pStyle w:val="10"/>
        <w:numPr>
          <w:ilvl w:val="1"/>
          <w:numId w:val="6"/>
        </w:numPr>
        <w:tabs>
          <w:tab w:val="left" w:pos="1849"/>
        </w:tabs>
        <w:spacing w:before="94" w:after="0" w:line="240" w:lineRule="auto"/>
        <w:ind w:left="1848" w:right="0" w:hanging="543"/>
        <w:jc w:val="left"/>
      </w:pPr>
      <w:r>
        <w:t>未按上述规定进行密封和标识的投标文件，招标人不予受理。</w:t>
      </w:r>
    </w:p>
    <w:p>
      <w:pPr>
        <w:pStyle w:val="18"/>
        <w:numPr>
          <w:ilvl w:val="0"/>
          <w:numId w:val="6"/>
        </w:numPr>
        <w:tabs>
          <w:tab w:val="left" w:pos="1247"/>
        </w:tabs>
        <w:spacing w:before="93" w:after="0" w:line="240" w:lineRule="auto"/>
        <w:ind w:left="1246" w:right="0" w:hanging="421"/>
        <w:jc w:val="left"/>
        <w:rPr>
          <w:rFonts w:hint="eastAsia" w:ascii="黑体" w:eastAsia="黑体"/>
          <w:sz w:val="24"/>
        </w:rPr>
      </w:pPr>
      <w:r>
        <w:rPr>
          <w:rFonts w:hint="eastAsia" w:ascii="黑体" w:eastAsia="黑体"/>
          <w:sz w:val="24"/>
        </w:rPr>
        <w:t>投标文件的递交</w:t>
      </w:r>
    </w:p>
    <w:p>
      <w:pPr>
        <w:pStyle w:val="18"/>
        <w:numPr>
          <w:ilvl w:val="1"/>
          <w:numId w:val="6"/>
        </w:numPr>
        <w:tabs>
          <w:tab w:val="left" w:pos="1847"/>
        </w:tabs>
        <w:spacing w:before="91" w:after="0" w:line="312" w:lineRule="auto"/>
        <w:ind w:left="826" w:right="1111" w:firstLine="480"/>
        <w:jc w:val="both"/>
        <w:rPr>
          <w:sz w:val="24"/>
        </w:rPr>
      </w:pPr>
      <w:r>
        <w:rPr>
          <w:spacing w:val="-3"/>
          <w:sz w:val="24"/>
        </w:rPr>
        <w:t xml:space="preserve">投标人的投标文件在投标人须知前附表第 </w:t>
      </w:r>
      <w:r>
        <w:rPr>
          <w:sz w:val="24"/>
        </w:rPr>
        <w:t>16</w:t>
      </w:r>
      <w:r>
        <w:rPr>
          <w:spacing w:val="-9"/>
          <w:sz w:val="24"/>
        </w:rPr>
        <w:t xml:space="preserve"> 项规定的截止时间前以直接递</w:t>
      </w:r>
      <w:r>
        <w:rPr>
          <w:spacing w:val="-2"/>
          <w:sz w:val="24"/>
        </w:rPr>
        <w:t xml:space="preserve">交形式递交至投标人须知前附表第 </w:t>
      </w:r>
      <w:r>
        <w:rPr>
          <w:sz w:val="24"/>
        </w:rPr>
        <w:t>16</w:t>
      </w:r>
      <w:r>
        <w:rPr>
          <w:spacing w:val="-6"/>
          <w:sz w:val="24"/>
        </w:rPr>
        <w:t xml:space="preserve"> 项规定的地点。投标人的法定代表人</w:t>
      </w:r>
      <w:r>
        <w:rPr>
          <w:sz w:val="24"/>
        </w:rPr>
        <w:t>（或委托代理人</w:t>
      </w:r>
      <w:r>
        <w:rPr>
          <w:spacing w:val="-8"/>
          <w:sz w:val="24"/>
        </w:rPr>
        <w:t>）</w:t>
      </w:r>
      <w:r>
        <w:rPr>
          <w:spacing w:val="-3"/>
          <w:sz w:val="24"/>
        </w:rPr>
        <w:t>必须参加开标会议，并带有效的身份证、和投标授权委托书</w:t>
      </w:r>
      <w:r>
        <w:rPr>
          <w:sz w:val="24"/>
        </w:rPr>
        <w:t>（如有</w:t>
      </w:r>
      <w:r>
        <w:rPr>
          <w:spacing w:val="-8"/>
          <w:sz w:val="24"/>
        </w:rPr>
        <w:t>）</w:t>
      </w:r>
      <w:r>
        <w:rPr>
          <w:spacing w:val="-5"/>
          <w:sz w:val="24"/>
        </w:rPr>
        <w:t>等身份证明原件，递交投标文件时投标人代表应签名报到。投标人的法定代表人</w:t>
      </w:r>
      <w:r>
        <w:rPr>
          <w:sz w:val="24"/>
        </w:rPr>
        <w:t>（</w:t>
      </w:r>
      <w:r>
        <w:rPr>
          <w:spacing w:val="-5"/>
          <w:sz w:val="24"/>
        </w:rPr>
        <w:t>或委托代</w:t>
      </w:r>
      <w:r>
        <w:rPr>
          <w:sz w:val="24"/>
        </w:rPr>
        <w:t>理人）在递交投标文件时未到场签字的，其投标文件不予受理。</w:t>
      </w:r>
    </w:p>
    <w:p>
      <w:pPr>
        <w:pStyle w:val="18"/>
        <w:numPr>
          <w:ilvl w:val="1"/>
          <w:numId w:val="6"/>
        </w:numPr>
        <w:tabs>
          <w:tab w:val="left" w:pos="1847"/>
        </w:tabs>
        <w:spacing w:before="3" w:after="0" w:line="312" w:lineRule="auto"/>
        <w:ind w:left="826" w:right="1111" w:firstLine="480"/>
        <w:jc w:val="both"/>
        <w:rPr>
          <w:sz w:val="24"/>
        </w:rPr>
      </w:pPr>
      <w:r>
        <w:rPr>
          <w:spacing w:val="-6"/>
          <w:sz w:val="24"/>
        </w:rPr>
        <w:t xml:space="preserve">招标人可按本须知第 </w:t>
      </w:r>
      <w:r>
        <w:rPr>
          <w:sz w:val="24"/>
        </w:rPr>
        <w:t>8、9、10</w:t>
      </w:r>
      <w:r>
        <w:rPr>
          <w:spacing w:val="-9"/>
          <w:sz w:val="24"/>
        </w:rPr>
        <w:t xml:space="preserve"> 条规定以澄清、修改的方式，酌情延长递交</w:t>
      </w:r>
      <w:r>
        <w:rPr>
          <w:spacing w:val="-4"/>
          <w:sz w:val="24"/>
        </w:rPr>
        <w:t>投标文件的截止时间。在此情况下，投标人的所有权利和义务以及投标人受制约的截</w:t>
      </w:r>
      <w:r>
        <w:rPr>
          <w:sz w:val="24"/>
        </w:rPr>
        <w:t>止时间，均以延长后新的投标截止时间为准。</w:t>
      </w:r>
    </w:p>
    <w:p>
      <w:pPr>
        <w:pStyle w:val="18"/>
        <w:numPr>
          <w:ilvl w:val="1"/>
          <w:numId w:val="6"/>
        </w:numPr>
        <w:tabs>
          <w:tab w:val="left" w:pos="1856"/>
        </w:tabs>
        <w:spacing w:before="0" w:after="0" w:line="312" w:lineRule="auto"/>
        <w:ind w:left="826" w:right="1080" w:firstLine="480"/>
        <w:jc w:val="both"/>
        <w:rPr>
          <w:b/>
          <w:color w:val="FF0000"/>
          <w:sz w:val="24"/>
        </w:rPr>
      </w:pPr>
      <w:r>
        <w:rPr>
          <w:b/>
          <w:color w:val="FF0000"/>
          <w:spacing w:val="3"/>
          <w:w w:val="95"/>
          <w:sz w:val="24"/>
        </w:rPr>
        <w:t xml:space="preserve">网上未报名、逾期送达的或者未送达指定地点的投标文件，招标人不予受  </w:t>
      </w:r>
      <w:r>
        <w:rPr>
          <w:b/>
          <w:color w:val="FF0000"/>
          <w:spacing w:val="3"/>
          <w:sz w:val="24"/>
        </w:rPr>
        <w:t>理。</w:t>
      </w:r>
    </w:p>
    <w:p>
      <w:pPr>
        <w:pStyle w:val="18"/>
        <w:numPr>
          <w:ilvl w:val="0"/>
          <w:numId w:val="6"/>
        </w:numPr>
        <w:tabs>
          <w:tab w:val="left" w:pos="1247"/>
        </w:tabs>
        <w:spacing w:before="0" w:after="0" w:line="307" w:lineRule="exact"/>
        <w:ind w:left="1246" w:right="0" w:hanging="421"/>
        <w:jc w:val="left"/>
        <w:rPr>
          <w:rFonts w:hint="eastAsia" w:ascii="黑体" w:eastAsia="黑体"/>
          <w:sz w:val="24"/>
        </w:rPr>
      </w:pPr>
      <w:r>
        <w:rPr>
          <w:rFonts w:hint="eastAsia" w:ascii="黑体" w:eastAsia="黑体"/>
          <w:sz w:val="24"/>
        </w:rPr>
        <w:t>投标文件的修改与撤回</w:t>
      </w:r>
    </w:p>
    <w:p>
      <w:pPr>
        <w:pStyle w:val="18"/>
        <w:numPr>
          <w:ilvl w:val="1"/>
          <w:numId w:val="6"/>
        </w:numPr>
        <w:tabs>
          <w:tab w:val="left" w:pos="1907"/>
        </w:tabs>
        <w:spacing w:before="94" w:after="0" w:line="312" w:lineRule="auto"/>
        <w:ind w:left="826" w:right="1111" w:firstLine="480"/>
        <w:jc w:val="both"/>
        <w:rPr>
          <w:sz w:val="24"/>
        </w:rPr>
      </w:pPr>
      <w:r>
        <w:rPr>
          <w:spacing w:val="-6"/>
          <w:sz w:val="24"/>
        </w:rPr>
        <w:t xml:space="preserve">在投标人须知前附表第 </w:t>
      </w:r>
      <w:r>
        <w:rPr>
          <w:sz w:val="24"/>
        </w:rPr>
        <w:t>15</w:t>
      </w:r>
      <w:r>
        <w:rPr>
          <w:spacing w:val="-11"/>
          <w:sz w:val="24"/>
        </w:rPr>
        <w:t xml:space="preserve"> 项规定的投标截止时间前，投标人可以修改或撤</w:t>
      </w:r>
      <w:r>
        <w:rPr>
          <w:sz w:val="24"/>
        </w:rPr>
        <w:t>回已递交的投标文件，但应以书面形式通知招标人。</w:t>
      </w:r>
    </w:p>
    <w:p>
      <w:pPr>
        <w:spacing w:after="0" w:line="312" w:lineRule="auto"/>
        <w:jc w:val="both"/>
        <w:rPr>
          <w:sz w:val="24"/>
        </w:rPr>
        <w:sectPr>
          <w:type w:val="continuous"/>
          <w:pgSz w:w="11910" w:h="16840"/>
          <w:pgMar w:top="1580" w:right="360" w:bottom="1220" w:left="760" w:header="720" w:footer="720" w:gutter="0"/>
        </w:sectPr>
      </w:pPr>
    </w:p>
    <w:p>
      <w:pPr>
        <w:pStyle w:val="11"/>
        <w:rPr>
          <w:sz w:val="20"/>
        </w:rPr>
      </w:pPr>
    </w:p>
    <w:p>
      <w:pPr>
        <w:pStyle w:val="11"/>
        <w:spacing w:before="1"/>
        <w:rPr>
          <w:sz w:val="20"/>
        </w:rPr>
      </w:pPr>
    </w:p>
    <w:p>
      <w:pPr>
        <w:pStyle w:val="18"/>
        <w:numPr>
          <w:ilvl w:val="1"/>
          <w:numId w:val="6"/>
        </w:numPr>
        <w:tabs>
          <w:tab w:val="left" w:pos="1916"/>
        </w:tabs>
        <w:spacing w:before="66" w:after="0" w:line="240" w:lineRule="auto"/>
        <w:ind w:left="1916" w:right="0" w:hanging="610"/>
        <w:jc w:val="left"/>
        <w:rPr>
          <w:sz w:val="24"/>
        </w:rPr>
      </w:pPr>
      <w:r>
        <w:rPr>
          <w:spacing w:val="8"/>
          <w:sz w:val="24"/>
        </w:rPr>
        <w:t>投标人修改或撤回已递交投标文件的书面通知应由投标人的法定代表人</w:t>
      </w:r>
    </w:p>
    <w:p>
      <w:pPr>
        <w:pStyle w:val="11"/>
        <w:spacing w:before="93" w:line="312" w:lineRule="auto"/>
        <w:ind w:left="826" w:right="1057"/>
      </w:pPr>
      <w:r>
        <w:t>（或其委托代理人）签名或盖投标人公章。招标人收到书面通知后，向投标人出具签收凭证。</w:t>
      </w:r>
    </w:p>
    <w:p>
      <w:pPr>
        <w:pStyle w:val="18"/>
        <w:numPr>
          <w:ilvl w:val="1"/>
          <w:numId w:val="6"/>
        </w:numPr>
        <w:tabs>
          <w:tab w:val="left" w:pos="1909"/>
        </w:tabs>
        <w:spacing w:before="101" w:after="0" w:line="312" w:lineRule="auto"/>
        <w:ind w:left="826" w:right="1113" w:firstLine="480"/>
        <w:jc w:val="both"/>
        <w:rPr>
          <w:sz w:val="24"/>
        </w:rPr>
      </w:pPr>
      <w:r>
        <w:rPr>
          <w:sz w:val="24"/>
        </w:rPr>
        <w:t>修改的内容为投标文件的组成部分。修改的投标文件应由投标人的法定代表人（或其委托代理人）</w:t>
      </w:r>
      <w:r>
        <w:rPr>
          <w:spacing w:val="-2"/>
          <w:sz w:val="24"/>
        </w:rPr>
        <w:t xml:space="preserve">签名或盖投标人公章，并按照本须知第 </w:t>
      </w:r>
      <w:r>
        <w:rPr>
          <w:sz w:val="24"/>
        </w:rPr>
        <w:t>18、19</w:t>
      </w:r>
      <w:r>
        <w:rPr>
          <w:spacing w:val="-7"/>
          <w:sz w:val="24"/>
        </w:rPr>
        <w:t xml:space="preserve"> 条规定进行密封、标识和递交，并标明“修改”字样。</w:t>
      </w:r>
    </w:p>
    <w:p>
      <w:pPr>
        <w:pStyle w:val="8"/>
        <w:spacing w:before="11"/>
        <w:ind w:left="4196"/>
        <w:jc w:val="both"/>
      </w:pPr>
      <w:r>
        <w:t>第 六 节 开 标</w:t>
      </w:r>
    </w:p>
    <w:p>
      <w:pPr>
        <w:pStyle w:val="10"/>
        <w:numPr>
          <w:ilvl w:val="0"/>
          <w:numId w:val="6"/>
        </w:numPr>
        <w:tabs>
          <w:tab w:val="left" w:pos="1247"/>
        </w:tabs>
        <w:spacing w:before="82" w:after="0" w:line="240" w:lineRule="auto"/>
        <w:ind w:left="1246" w:right="0" w:hanging="421"/>
        <w:jc w:val="left"/>
      </w:pPr>
      <w:r>
        <w:t>开标</w:t>
      </w:r>
    </w:p>
    <w:p>
      <w:pPr>
        <w:pStyle w:val="18"/>
        <w:numPr>
          <w:ilvl w:val="1"/>
          <w:numId w:val="6"/>
        </w:numPr>
        <w:tabs>
          <w:tab w:val="left" w:pos="1847"/>
        </w:tabs>
        <w:spacing w:before="60" w:after="0" w:line="240" w:lineRule="auto"/>
        <w:ind w:left="1846" w:right="0" w:hanging="541"/>
        <w:jc w:val="left"/>
        <w:rPr>
          <w:sz w:val="24"/>
        </w:rPr>
      </w:pPr>
      <w:r>
        <w:rPr>
          <w:spacing w:val="-4"/>
          <w:sz w:val="24"/>
        </w:rPr>
        <w:t xml:space="preserve">招标人将于投标人须知前附表第 </w:t>
      </w:r>
      <w:r>
        <w:rPr>
          <w:sz w:val="24"/>
        </w:rPr>
        <w:t>16</w:t>
      </w:r>
      <w:r>
        <w:rPr>
          <w:spacing w:val="-8"/>
          <w:sz w:val="24"/>
        </w:rPr>
        <w:t xml:space="preserve"> 项规定的时间和地点举行开标会议。</w:t>
      </w:r>
    </w:p>
    <w:p>
      <w:pPr>
        <w:pStyle w:val="18"/>
        <w:numPr>
          <w:ilvl w:val="1"/>
          <w:numId w:val="6"/>
        </w:numPr>
        <w:tabs>
          <w:tab w:val="left" w:pos="1847"/>
        </w:tabs>
        <w:spacing w:before="52" w:after="0" w:line="280" w:lineRule="auto"/>
        <w:ind w:left="826" w:right="991" w:firstLine="480"/>
        <w:jc w:val="left"/>
        <w:rPr>
          <w:sz w:val="24"/>
        </w:rPr>
      </w:pPr>
      <w:r>
        <w:rPr>
          <w:spacing w:val="-15"/>
          <w:sz w:val="24"/>
        </w:rPr>
        <w:t>委托代理人参加开标、询标的，须同时递交合法、有效的《投标授权委托书》</w:t>
      </w:r>
      <w:r>
        <w:rPr>
          <w:sz w:val="24"/>
        </w:rPr>
        <w:t>原件。</w:t>
      </w:r>
    </w:p>
    <w:p>
      <w:pPr>
        <w:pStyle w:val="18"/>
        <w:numPr>
          <w:ilvl w:val="1"/>
          <w:numId w:val="6"/>
        </w:numPr>
        <w:tabs>
          <w:tab w:val="left" w:pos="1847"/>
        </w:tabs>
        <w:spacing w:before="17" w:after="0" w:line="295" w:lineRule="auto"/>
        <w:ind w:left="826" w:right="1111" w:firstLine="480"/>
        <w:jc w:val="left"/>
        <w:rPr>
          <w:sz w:val="24"/>
        </w:rPr>
      </w:pPr>
      <w:r>
        <w:rPr>
          <w:spacing w:val="-10"/>
          <w:sz w:val="24"/>
        </w:rPr>
        <w:t>开标会议由招标人组织，依法接受温岭市公共资源交易管理委员会等部门的</w:t>
      </w:r>
      <w:r>
        <w:rPr>
          <w:sz w:val="24"/>
        </w:rPr>
        <w:t>监督。</w:t>
      </w:r>
    </w:p>
    <w:p>
      <w:pPr>
        <w:pStyle w:val="18"/>
        <w:numPr>
          <w:ilvl w:val="1"/>
          <w:numId w:val="6"/>
        </w:numPr>
        <w:tabs>
          <w:tab w:val="left" w:pos="1847"/>
        </w:tabs>
        <w:spacing w:before="2" w:after="0" w:line="240" w:lineRule="auto"/>
        <w:ind w:left="1846" w:right="0" w:hanging="541"/>
        <w:jc w:val="left"/>
        <w:rPr>
          <w:sz w:val="24"/>
        </w:rPr>
      </w:pPr>
      <w:r>
        <w:rPr>
          <w:sz w:val="24"/>
        </w:rPr>
        <w:t>开标程序</w:t>
      </w:r>
    </w:p>
    <w:p>
      <w:pPr>
        <w:pStyle w:val="18"/>
        <w:numPr>
          <w:ilvl w:val="2"/>
          <w:numId w:val="6"/>
        </w:numPr>
        <w:tabs>
          <w:tab w:val="left" w:pos="2087"/>
        </w:tabs>
        <w:spacing w:before="75" w:after="0" w:line="295" w:lineRule="auto"/>
        <w:ind w:left="826" w:right="1111" w:firstLine="480"/>
        <w:jc w:val="left"/>
        <w:rPr>
          <w:sz w:val="24"/>
        </w:rPr>
      </w:pPr>
      <w:r>
        <w:rPr>
          <w:spacing w:val="-8"/>
          <w:sz w:val="24"/>
          <w:u w:val="single"/>
        </w:rPr>
        <w:t>本工程先开资格标，资格标评定结果出来后，再开商务标。投标保证金或</w:t>
      </w:r>
      <w:r>
        <w:rPr>
          <w:spacing w:val="-220"/>
          <w:sz w:val="24"/>
          <w:u w:val="single"/>
        </w:rPr>
        <w:t>资</w:t>
      </w:r>
      <w:r>
        <w:rPr>
          <w:sz w:val="24"/>
          <w:u w:val="single"/>
        </w:rPr>
        <w:t>格标评定为无效的，则商务标不予开标。</w:t>
      </w:r>
    </w:p>
    <w:p>
      <w:pPr>
        <w:pStyle w:val="18"/>
        <w:numPr>
          <w:ilvl w:val="2"/>
          <w:numId w:val="6"/>
        </w:numPr>
        <w:tabs>
          <w:tab w:val="left" w:pos="2092"/>
        </w:tabs>
        <w:spacing w:before="1" w:after="0" w:line="297" w:lineRule="auto"/>
        <w:ind w:left="826" w:right="1111" w:firstLine="480"/>
        <w:jc w:val="left"/>
        <w:rPr>
          <w:sz w:val="24"/>
        </w:rPr>
      </w:pPr>
      <w:r>
        <w:rPr>
          <w:spacing w:val="2"/>
          <w:sz w:val="24"/>
          <w:u w:val="single"/>
        </w:rPr>
        <w:t>招标人在开商务标前当众宣布资格标评定结果，以及招标人设定的上限</w:t>
      </w:r>
      <w:r>
        <w:rPr>
          <w:spacing w:val="-233"/>
          <w:sz w:val="24"/>
          <w:u w:val="single"/>
        </w:rPr>
        <w:t>价</w:t>
      </w:r>
      <w:r>
        <w:rPr>
          <w:sz w:val="24"/>
          <w:u w:val="single"/>
        </w:rPr>
        <w:t>，而后宣读有效投标的投标人名称、投标报价、工期承诺、质量承诺等内容。</w:t>
      </w:r>
    </w:p>
    <w:p>
      <w:pPr>
        <w:pStyle w:val="18"/>
        <w:numPr>
          <w:ilvl w:val="1"/>
          <w:numId w:val="6"/>
        </w:numPr>
        <w:tabs>
          <w:tab w:val="left" w:pos="1847"/>
        </w:tabs>
        <w:spacing w:before="0" w:after="0" w:line="306" w:lineRule="exact"/>
        <w:ind w:left="1846" w:right="0" w:hanging="541"/>
        <w:jc w:val="left"/>
        <w:rPr>
          <w:sz w:val="24"/>
        </w:rPr>
      </w:pPr>
      <w:r>
        <w:rPr>
          <w:sz w:val="24"/>
        </w:rPr>
        <w:t>按规定递交合格的撤回通知的投标文件不予开封，并退回给投标人。</w:t>
      </w:r>
    </w:p>
    <w:p>
      <w:pPr>
        <w:pStyle w:val="18"/>
        <w:numPr>
          <w:ilvl w:val="1"/>
          <w:numId w:val="6"/>
        </w:numPr>
        <w:tabs>
          <w:tab w:val="left" w:pos="1847"/>
        </w:tabs>
        <w:spacing w:before="72" w:after="0" w:line="297" w:lineRule="auto"/>
        <w:ind w:left="826" w:right="1111" w:firstLine="480"/>
        <w:jc w:val="left"/>
        <w:rPr>
          <w:sz w:val="24"/>
        </w:rPr>
      </w:pPr>
      <w:r>
        <w:rPr>
          <w:spacing w:val="-5"/>
          <w:sz w:val="24"/>
        </w:rPr>
        <w:t>招标人在招标文件要求递交投标文件的截止时间前收到的投标文件，开标时</w:t>
      </w:r>
      <w:r>
        <w:rPr>
          <w:sz w:val="24"/>
        </w:rPr>
        <w:t>都将当众予以拆封、宣读。</w:t>
      </w:r>
    </w:p>
    <w:p>
      <w:pPr>
        <w:pStyle w:val="18"/>
        <w:numPr>
          <w:ilvl w:val="1"/>
          <w:numId w:val="6"/>
        </w:numPr>
        <w:tabs>
          <w:tab w:val="left" w:pos="1847"/>
        </w:tabs>
        <w:spacing w:before="0" w:after="0" w:line="306" w:lineRule="exact"/>
        <w:ind w:left="1846" w:right="0" w:hanging="541"/>
        <w:jc w:val="left"/>
        <w:rPr>
          <w:sz w:val="24"/>
        </w:rPr>
      </w:pPr>
      <w:r>
        <w:rPr>
          <w:sz w:val="24"/>
        </w:rPr>
        <w:t>招标人将对开标过程进行记录，并存档备查。</w:t>
      </w:r>
    </w:p>
    <w:p>
      <w:pPr>
        <w:pStyle w:val="18"/>
        <w:numPr>
          <w:ilvl w:val="1"/>
          <w:numId w:val="6"/>
        </w:numPr>
        <w:tabs>
          <w:tab w:val="left" w:pos="1847"/>
        </w:tabs>
        <w:spacing w:before="89" w:after="0" w:line="312" w:lineRule="auto"/>
        <w:ind w:left="826" w:right="1111" w:firstLine="480"/>
        <w:jc w:val="left"/>
        <w:rPr>
          <w:sz w:val="24"/>
        </w:rPr>
      </w:pPr>
      <w:r>
        <w:rPr>
          <w:spacing w:val="-8"/>
          <w:sz w:val="24"/>
        </w:rPr>
        <w:t>投标人对开标有异议的，应当在开标现场以书面形式提出异议，招标人应当</w:t>
      </w:r>
      <w:r>
        <w:rPr>
          <w:sz w:val="24"/>
        </w:rPr>
        <w:t>当场作出答复，并制作记录。</w:t>
      </w:r>
    </w:p>
    <w:p>
      <w:pPr>
        <w:pStyle w:val="11"/>
        <w:spacing w:before="4"/>
        <w:rPr>
          <w:sz w:val="23"/>
        </w:rPr>
      </w:pPr>
    </w:p>
    <w:p>
      <w:pPr>
        <w:pStyle w:val="8"/>
        <w:tabs>
          <w:tab w:val="left" w:pos="5391"/>
          <w:tab w:val="left" w:pos="5952"/>
        </w:tabs>
        <w:ind w:left="4268"/>
      </w:pPr>
      <w:r>
        <w:t>第七节</w:t>
      </w:r>
      <w:r>
        <w:tab/>
      </w:r>
      <w:r>
        <w:t>评</w:t>
      </w:r>
      <w:r>
        <w:tab/>
      </w:r>
      <w:r>
        <w:t>标</w:t>
      </w:r>
    </w:p>
    <w:p>
      <w:pPr>
        <w:pStyle w:val="10"/>
        <w:numPr>
          <w:ilvl w:val="0"/>
          <w:numId w:val="6"/>
        </w:numPr>
        <w:tabs>
          <w:tab w:val="left" w:pos="1187"/>
        </w:tabs>
        <w:spacing w:before="99" w:after="0" w:line="240" w:lineRule="auto"/>
        <w:ind w:left="1186" w:right="0" w:hanging="361"/>
        <w:jc w:val="left"/>
        <w:rPr>
          <w:rFonts w:ascii="Times New Roman" w:eastAsia="Times New Roman"/>
        </w:rPr>
      </w:pPr>
      <w:r>
        <w:t>评标委员会</w:t>
      </w:r>
    </w:p>
    <w:p>
      <w:pPr>
        <w:pStyle w:val="18"/>
        <w:numPr>
          <w:ilvl w:val="1"/>
          <w:numId w:val="6"/>
        </w:numPr>
        <w:tabs>
          <w:tab w:val="left" w:pos="1907"/>
        </w:tabs>
        <w:spacing w:before="91" w:after="0" w:line="240" w:lineRule="auto"/>
        <w:ind w:left="1906" w:right="0" w:hanging="601"/>
        <w:jc w:val="both"/>
        <w:rPr>
          <w:sz w:val="24"/>
        </w:rPr>
      </w:pPr>
      <w:r>
        <w:rPr>
          <w:sz w:val="24"/>
        </w:rPr>
        <w:t>评标由招标人依法组建的评标委员会负责。</w:t>
      </w:r>
    </w:p>
    <w:p>
      <w:pPr>
        <w:pStyle w:val="18"/>
        <w:numPr>
          <w:ilvl w:val="1"/>
          <w:numId w:val="6"/>
        </w:numPr>
        <w:tabs>
          <w:tab w:val="left" w:pos="1847"/>
        </w:tabs>
        <w:spacing w:before="93" w:after="0" w:line="312" w:lineRule="auto"/>
        <w:ind w:left="826" w:right="1111" w:firstLine="480"/>
        <w:jc w:val="both"/>
        <w:rPr>
          <w:sz w:val="24"/>
        </w:rPr>
      </w:pPr>
      <w:r>
        <w:rPr>
          <w:spacing w:val="-5"/>
          <w:sz w:val="24"/>
        </w:rPr>
        <w:t>评标委员会由招标人或其委托的招标代理机构熟悉相关业务的代表，以及有</w:t>
      </w:r>
      <w:r>
        <w:rPr>
          <w:spacing w:val="-7"/>
          <w:sz w:val="24"/>
        </w:rPr>
        <w:t>关技术、经济等方面的专家组成。评标委员会成员应当客观、公正地履行职责，根据</w:t>
      </w:r>
      <w:r>
        <w:rPr>
          <w:spacing w:val="-4"/>
          <w:sz w:val="24"/>
        </w:rPr>
        <w:t>招标文件规定的评标标准和方法，对投标文件进行系统地评审和比较，招标文件中没</w:t>
      </w:r>
      <w:r>
        <w:rPr>
          <w:spacing w:val="-3"/>
          <w:sz w:val="24"/>
        </w:rPr>
        <w:t>有规定的标准和方法不得作为评标依据。评标委员会实行少数服从多数原则，评标结</w:t>
      </w:r>
    </w:p>
    <w:p>
      <w:pPr>
        <w:spacing w:after="0" w:line="312" w:lineRule="auto"/>
        <w:jc w:val="both"/>
        <w:rPr>
          <w:sz w:val="24"/>
        </w:rPr>
        <w:sectPr>
          <w:pgSz w:w="11910" w:h="16840"/>
          <w:pgMar w:top="1580" w:right="360" w:bottom="1300" w:left="760" w:header="0" w:footer="1109" w:gutter="0"/>
        </w:sectPr>
      </w:pPr>
    </w:p>
    <w:p>
      <w:pPr>
        <w:pStyle w:val="11"/>
        <w:rPr>
          <w:sz w:val="20"/>
        </w:rPr>
      </w:pPr>
    </w:p>
    <w:p>
      <w:pPr>
        <w:pStyle w:val="11"/>
        <w:spacing w:before="1"/>
        <w:rPr>
          <w:sz w:val="20"/>
        </w:rPr>
      </w:pPr>
    </w:p>
    <w:p>
      <w:pPr>
        <w:pStyle w:val="11"/>
        <w:spacing w:before="66"/>
        <w:ind w:left="826"/>
      </w:pPr>
      <w:r>
        <w:t>果经评标委员会全体成员过半数通过有效。</w:t>
      </w:r>
    </w:p>
    <w:p>
      <w:pPr>
        <w:pStyle w:val="18"/>
        <w:numPr>
          <w:ilvl w:val="1"/>
          <w:numId w:val="6"/>
        </w:numPr>
        <w:tabs>
          <w:tab w:val="left" w:pos="1847"/>
        </w:tabs>
        <w:spacing w:before="93" w:after="0" w:line="240" w:lineRule="auto"/>
        <w:ind w:left="1846" w:right="0" w:hanging="541"/>
        <w:jc w:val="left"/>
        <w:rPr>
          <w:sz w:val="24"/>
        </w:rPr>
      </w:pPr>
      <w:r>
        <w:rPr>
          <w:sz w:val="24"/>
        </w:rPr>
        <w:t>评标委员会成员有下列情形之一的，应当主动回避：</w:t>
      </w:r>
    </w:p>
    <w:p>
      <w:pPr>
        <w:pStyle w:val="18"/>
        <w:numPr>
          <w:ilvl w:val="0"/>
          <w:numId w:val="8"/>
        </w:numPr>
        <w:tabs>
          <w:tab w:val="left" w:pos="2064"/>
        </w:tabs>
        <w:spacing w:before="94" w:after="0" w:line="240" w:lineRule="auto"/>
        <w:ind w:left="2063" w:right="0" w:hanging="602"/>
        <w:jc w:val="left"/>
        <w:rPr>
          <w:sz w:val="24"/>
        </w:rPr>
      </w:pPr>
      <w:r>
        <w:rPr>
          <w:sz w:val="24"/>
        </w:rPr>
        <w:t>招标人或投标人的主要负责人的近亲属；</w:t>
      </w:r>
    </w:p>
    <w:p>
      <w:pPr>
        <w:pStyle w:val="18"/>
        <w:numPr>
          <w:ilvl w:val="0"/>
          <w:numId w:val="8"/>
        </w:numPr>
        <w:tabs>
          <w:tab w:val="left" w:pos="2064"/>
        </w:tabs>
        <w:spacing w:before="90" w:after="0" w:line="240" w:lineRule="auto"/>
        <w:ind w:left="2063" w:right="0" w:hanging="602"/>
        <w:jc w:val="left"/>
        <w:rPr>
          <w:sz w:val="24"/>
        </w:rPr>
      </w:pPr>
      <w:r>
        <w:rPr>
          <w:sz w:val="24"/>
        </w:rPr>
        <w:t>项目主管部门或者行政监督部门的人员；</w:t>
      </w:r>
    </w:p>
    <w:p>
      <w:pPr>
        <w:pStyle w:val="18"/>
        <w:numPr>
          <w:ilvl w:val="0"/>
          <w:numId w:val="8"/>
        </w:numPr>
        <w:tabs>
          <w:tab w:val="left" w:pos="2064"/>
        </w:tabs>
        <w:spacing w:before="94" w:after="0" w:line="240" w:lineRule="auto"/>
        <w:ind w:left="2063" w:right="0" w:hanging="602"/>
        <w:jc w:val="left"/>
        <w:rPr>
          <w:sz w:val="24"/>
        </w:rPr>
      </w:pPr>
      <w:r>
        <w:rPr>
          <w:sz w:val="24"/>
        </w:rPr>
        <w:t>与投标人有利害关系，可能影响对投标公正评审的；</w:t>
      </w:r>
    </w:p>
    <w:p>
      <w:pPr>
        <w:pStyle w:val="18"/>
        <w:numPr>
          <w:ilvl w:val="0"/>
          <w:numId w:val="8"/>
        </w:numPr>
        <w:tabs>
          <w:tab w:val="left" w:pos="2064"/>
        </w:tabs>
        <w:spacing w:before="93" w:after="0" w:line="312" w:lineRule="auto"/>
        <w:ind w:left="826" w:right="1111" w:firstLine="636"/>
        <w:jc w:val="left"/>
        <w:rPr>
          <w:sz w:val="24"/>
        </w:rPr>
      </w:pPr>
      <w:r>
        <w:rPr>
          <w:spacing w:val="-6"/>
          <w:sz w:val="24"/>
        </w:rPr>
        <w:t>曾因在招标、评标以及其他与招标投标有关活动中从事违法行为而受过</w:t>
      </w:r>
      <w:r>
        <w:rPr>
          <w:spacing w:val="-4"/>
          <w:sz w:val="24"/>
        </w:rPr>
        <w:t>行政处罚或刑事处罚的。</w:t>
      </w:r>
    </w:p>
    <w:p>
      <w:pPr>
        <w:pStyle w:val="18"/>
        <w:numPr>
          <w:ilvl w:val="1"/>
          <w:numId w:val="6"/>
        </w:numPr>
        <w:tabs>
          <w:tab w:val="left" w:pos="1847"/>
        </w:tabs>
        <w:spacing w:before="0" w:after="0" w:line="307" w:lineRule="exact"/>
        <w:ind w:left="1846" w:right="0" w:hanging="541"/>
        <w:jc w:val="left"/>
        <w:rPr>
          <w:sz w:val="24"/>
        </w:rPr>
      </w:pPr>
      <w:r>
        <w:rPr>
          <w:sz w:val="24"/>
        </w:rPr>
        <w:t>评标原则</w:t>
      </w:r>
    </w:p>
    <w:p>
      <w:pPr>
        <w:pStyle w:val="11"/>
        <w:spacing w:before="93"/>
        <w:ind w:left="1462"/>
      </w:pPr>
      <w:r>
        <w:t>评标活动遵循公平、公正、科学和择优的原则。</w:t>
      </w:r>
    </w:p>
    <w:p>
      <w:pPr>
        <w:pStyle w:val="10"/>
        <w:numPr>
          <w:ilvl w:val="0"/>
          <w:numId w:val="6"/>
        </w:numPr>
        <w:tabs>
          <w:tab w:val="left" w:pos="1187"/>
        </w:tabs>
        <w:spacing w:before="110" w:after="0" w:line="240" w:lineRule="auto"/>
        <w:ind w:left="1186" w:right="0" w:hanging="361"/>
        <w:jc w:val="both"/>
        <w:rPr>
          <w:rFonts w:ascii="Times New Roman" w:eastAsia="Times New Roman"/>
        </w:rPr>
      </w:pPr>
      <w:r>
        <w:t>评标</w:t>
      </w:r>
    </w:p>
    <w:p>
      <w:pPr>
        <w:pStyle w:val="18"/>
        <w:numPr>
          <w:ilvl w:val="1"/>
          <w:numId w:val="6"/>
        </w:numPr>
        <w:tabs>
          <w:tab w:val="left" w:pos="1909"/>
        </w:tabs>
        <w:spacing w:before="91" w:after="0" w:line="312" w:lineRule="auto"/>
        <w:ind w:left="826" w:right="1111" w:firstLine="480"/>
        <w:jc w:val="both"/>
        <w:rPr>
          <w:sz w:val="24"/>
        </w:rPr>
      </w:pPr>
      <w:r>
        <w:rPr>
          <w:sz w:val="24"/>
        </w:rPr>
        <w:t>评标委员会按照第三章“评标办法”规定的方法、评审因素、标准和程序</w:t>
      </w:r>
      <w:r>
        <w:rPr>
          <w:spacing w:val="-6"/>
          <w:sz w:val="24"/>
        </w:rPr>
        <w:t>对投标文件进行评审。第三章“评标办法”没有规定的方法、评审因素和标准，不作</w:t>
      </w:r>
      <w:r>
        <w:rPr>
          <w:sz w:val="24"/>
        </w:rPr>
        <w:t>为评标依据。</w:t>
      </w:r>
    </w:p>
    <w:p>
      <w:pPr>
        <w:pStyle w:val="10"/>
        <w:numPr>
          <w:ilvl w:val="0"/>
          <w:numId w:val="6"/>
        </w:numPr>
        <w:tabs>
          <w:tab w:val="left" w:pos="1187"/>
        </w:tabs>
        <w:spacing w:before="18" w:after="0" w:line="240" w:lineRule="auto"/>
        <w:ind w:left="1186" w:right="0" w:hanging="361"/>
        <w:jc w:val="both"/>
        <w:rPr>
          <w:rFonts w:ascii="Times New Roman" w:eastAsia="Times New Roman"/>
        </w:rPr>
      </w:pPr>
      <w:r>
        <w:t>评标过程的保密</w:t>
      </w:r>
    </w:p>
    <w:p>
      <w:pPr>
        <w:pStyle w:val="18"/>
        <w:numPr>
          <w:ilvl w:val="1"/>
          <w:numId w:val="6"/>
        </w:numPr>
        <w:tabs>
          <w:tab w:val="left" w:pos="1847"/>
        </w:tabs>
        <w:spacing w:before="93" w:after="0" w:line="312" w:lineRule="auto"/>
        <w:ind w:left="826" w:right="1111" w:firstLine="480"/>
        <w:jc w:val="both"/>
        <w:rPr>
          <w:sz w:val="24"/>
        </w:rPr>
      </w:pPr>
      <w:r>
        <w:rPr>
          <w:spacing w:val="-10"/>
          <w:sz w:val="24"/>
        </w:rPr>
        <w:t>开标后，直至授予中标人合同为止，凡属于对投标文件的审查、澄清、评价</w:t>
      </w:r>
      <w:r>
        <w:rPr>
          <w:sz w:val="24"/>
        </w:rPr>
        <w:t>和比较有关资料以及中标候选人推荐情况等与评标有关的任何情况均严格保密。</w:t>
      </w:r>
    </w:p>
    <w:p>
      <w:pPr>
        <w:pStyle w:val="18"/>
        <w:numPr>
          <w:ilvl w:val="1"/>
          <w:numId w:val="6"/>
        </w:numPr>
        <w:tabs>
          <w:tab w:val="left" w:pos="1847"/>
        </w:tabs>
        <w:spacing w:before="0" w:after="0" w:line="312" w:lineRule="auto"/>
        <w:ind w:left="826" w:right="1111" w:firstLine="480"/>
        <w:jc w:val="both"/>
        <w:rPr>
          <w:sz w:val="24"/>
        </w:rPr>
      </w:pPr>
      <w:r>
        <w:rPr>
          <w:spacing w:val="-7"/>
          <w:sz w:val="24"/>
        </w:rPr>
        <w:t>在投标文件的评审和比较、中标候选人推荐以及授予合同的过程中，投标人</w:t>
      </w:r>
      <w:r>
        <w:rPr>
          <w:sz w:val="24"/>
        </w:rPr>
        <w:t>向招标人和评标委员会施加影响的任何行为，都将会导致其投标被拒绝。</w:t>
      </w:r>
    </w:p>
    <w:p>
      <w:pPr>
        <w:pStyle w:val="18"/>
        <w:numPr>
          <w:ilvl w:val="1"/>
          <w:numId w:val="6"/>
        </w:numPr>
        <w:tabs>
          <w:tab w:val="left" w:pos="1847"/>
        </w:tabs>
        <w:spacing w:before="2" w:after="0" w:line="312" w:lineRule="auto"/>
        <w:ind w:left="826" w:right="1111" w:firstLine="480"/>
        <w:jc w:val="both"/>
        <w:rPr>
          <w:sz w:val="24"/>
        </w:rPr>
      </w:pPr>
      <w:r>
        <w:rPr>
          <w:spacing w:val="-11"/>
          <w:sz w:val="24"/>
        </w:rPr>
        <w:t>中标人确定后，招标人不对未中标的投标人就评标过程以及未能中标原因作</w:t>
      </w:r>
      <w:r>
        <w:rPr>
          <w:spacing w:val="-7"/>
          <w:sz w:val="24"/>
        </w:rPr>
        <w:t>出任何解释。未中标的投标人不得向评标委员会组成人员或其他有关人员索问评标过</w:t>
      </w:r>
      <w:r>
        <w:rPr>
          <w:sz w:val="24"/>
        </w:rPr>
        <w:t>程的情况和材料。</w:t>
      </w:r>
    </w:p>
    <w:p>
      <w:pPr>
        <w:pStyle w:val="10"/>
        <w:numPr>
          <w:ilvl w:val="0"/>
          <w:numId w:val="6"/>
        </w:numPr>
        <w:tabs>
          <w:tab w:val="left" w:pos="1187"/>
        </w:tabs>
        <w:spacing w:before="18" w:after="0" w:line="240" w:lineRule="auto"/>
        <w:ind w:left="1186" w:right="0" w:hanging="361"/>
        <w:jc w:val="both"/>
        <w:rPr>
          <w:rFonts w:ascii="Times New Roman" w:eastAsia="Times New Roman"/>
        </w:rPr>
      </w:pPr>
      <w:r>
        <w:t>投标文件的澄清</w:t>
      </w:r>
    </w:p>
    <w:p>
      <w:pPr>
        <w:pStyle w:val="18"/>
        <w:numPr>
          <w:ilvl w:val="1"/>
          <w:numId w:val="6"/>
        </w:numPr>
        <w:tabs>
          <w:tab w:val="left" w:pos="1847"/>
        </w:tabs>
        <w:spacing w:before="90" w:after="0" w:line="312" w:lineRule="auto"/>
        <w:ind w:left="826" w:right="1077" w:firstLine="480"/>
        <w:jc w:val="both"/>
        <w:rPr>
          <w:sz w:val="24"/>
        </w:rPr>
      </w:pPr>
      <w:r>
        <w:rPr>
          <w:spacing w:val="-7"/>
          <w:sz w:val="24"/>
        </w:rPr>
        <w:t>为有助于投标文件的审查、评价和比较，评标委员会可以以书面形式要求投</w:t>
      </w:r>
      <w:r>
        <w:rPr>
          <w:spacing w:val="-9"/>
          <w:sz w:val="24"/>
        </w:rPr>
        <w:t>标人对投标文件含义不明确的内容作必要的澄清或说明，投标人应采用书面形式进行</w:t>
      </w:r>
      <w:r>
        <w:rPr>
          <w:spacing w:val="-10"/>
          <w:sz w:val="24"/>
        </w:rPr>
        <w:t>澄清或说明，但不得超出投标文件的范围或更改投标报价等投标文件的实质性内容。</w:t>
      </w:r>
    </w:p>
    <w:p>
      <w:pPr>
        <w:pStyle w:val="10"/>
        <w:numPr>
          <w:ilvl w:val="0"/>
          <w:numId w:val="6"/>
        </w:numPr>
        <w:tabs>
          <w:tab w:val="left" w:pos="1187"/>
        </w:tabs>
        <w:spacing w:before="18" w:after="0" w:line="240" w:lineRule="auto"/>
        <w:ind w:left="1186" w:right="0" w:hanging="361"/>
        <w:jc w:val="both"/>
        <w:rPr>
          <w:rFonts w:ascii="Times New Roman" w:eastAsia="Times New Roman"/>
        </w:rPr>
      </w:pPr>
      <w:r>
        <w:t>投标文件的符合性</w:t>
      </w:r>
    </w:p>
    <w:p>
      <w:pPr>
        <w:pStyle w:val="18"/>
        <w:numPr>
          <w:ilvl w:val="1"/>
          <w:numId w:val="6"/>
        </w:numPr>
        <w:tabs>
          <w:tab w:val="left" w:pos="1780"/>
        </w:tabs>
        <w:spacing w:before="93" w:after="0" w:line="312" w:lineRule="auto"/>
        <w:ind w:left="826" w:right="1097" w:firstLine="448"/>
        <w:jc w:val="both"/>
        <w:rPr>
          <w:sz w:val="24"/>
        </w:rPr>
      </w:pPr>
      <w:r>
        <w:rPr>
          <w:spacing w:val="-16"/>
          <w:sz w:val="24"/>
        </w:rPr>
        <w:t>如果投标文件实质上不响应招标文件的要求，招标人将予以拒绝，并且不允许通</w:t>
      </w:r>
      <w:r>
        <w:rPr>
          <w:spacing w:val="-17"/>
          <w:sz w:val="24"/>
        </w:rPr>
        <w:t>过修正或撤消其不符合要求的差异或保留，使之成为具有响应性的投标。</w:t>
      </w:r>
    </w:p>
    <w:p>
      <w:pPr>
        <w:pStyle w:val="11"/>
        <w:spacing w:before="8"/>
      </w:pPr>
    </w:p>
    <w:p>
      <w:pPr>
        <w:pStyle w:val="8"/>
        <w:tabs>
          <w:tab w:val="left" w:pos="5201"/>
        </w:tabs>
        <w:spacing w:before="62"/>
        <w:ind w:left="4078"/>
      </w:pPr>
      <w:r>
        <w:t>第八节</w:t>
      </w:r>
      <w:r>
        <w:tab/>
      </w:r>
      <w:r>
        <w:t>合同授予</w:t>
      </w:r>
    </w:p>
    <w:p>
      <w:pPr>
        <w:pStyle w:val="10"/>
        <w:numPr>
          <w:ilvl w:val="0"/>
          <w:numId w:val="6"/>
        </w:numPr>
        <w:tabs>
          <w:tab w:val="left" w:pos="1187"/>
        </w:tabs>
        <w:spacing w:before="99" w:after="0" w:line="240" w:lineRule="auto"/>
        <w:ind w:left="1186" w:right="0" w:hanging="361"/>
        <w:jc w:val="left"/>
        <w:rPr>
          <w:rFonts w:ascii="Times New Roman" w:eastAsia="Times New Roman"/>
        </w:rPr>
      </w:pPr>
      <w:r>
        <w:t>合同授予标准</w:t>
      </w:r>
    </w:p>
    <w:p>
      <w:pPr>
        <w:spacing w:after="0" w:line="240" w:lineRule="auto"/>
        <w:jc w:val="left"/>
        <w:rPr>
          <w:rFonts w:ascii="Times New Roman" w:eastAsia="Times New Roman"/>
        </w:rPr>
        <w:sectPr>
          <w:pgSz w:w="11910" w:h="16840"/>
          <w:pgMar w:top="1580" w:right="360" w:bottom="1300" w:left="760" w:header="0" w:footer="1109" w:gutter="0"/>
        </w:sectPr>
      </w:pPr>
    </w:p>
    <w:p>
      <w:pPr>
        <w:pStyle w:val="11"/>
        <w:rPr>
          <w:b/>
          <w:sz w:val="20"/>
        </w:rPr>
      </w:pPr>
    </w:p>
    <w:p>
      <w:pPr>
        <w:pStyle w:val="11"/>
        <w:spacing w:before="1"/>
        <w:rPr>
          <w:b/>
          <w:sz w:val="20"/>
        </w:rPr>
      </w:pPr>
    </w:p>
    <w:p>
      <w:pPr>
        <w:pStyle w:val="18"/>
        <w:numPr>
          <w:ilvl w:val="1"/>
          <w:numId w:val="6"/>
        </w:numPr>
        <w:tabs>
          <w:tab w:val="left" w:pos="1849"/>
        </w:tabs>
        <w:spacing w:before="66" w:after="0" w:line="312" w:lineRule="auto"/>
        <w:ind w:left="826" w:right="1111" w:firstLine="480"/>
        <w:jc w:val="left"/>
        <w:rPr>
          <w:sz w:val="24"/>
        </w:rPr>
      </w:pPr>
      <w:r>
        <w:rPr>
          <w:spacing w:val="-1"/>
          <w:sz w:val="24"/>
        </w:rPr>
        <w:t xml:space="preserve">招标人将把合同授予其投标文件在实质上响应招标文件要求和本须知第 </w:t>
      </w:r>
      <w:r>
        <w:rPr>
          <w:sz w:val="24"/>
        </w:rPr>
        <w:t>23 条规定评出的投标人。</w:t>
      </w:r>
    </w:p>
    <w:p>
      <w:pPr>
        <w:pStyle w:val="10"/>
        <w:numPr>
          <w:ilvl w:val="0"/>
          <w:numId w:val="6"/>
        </w:numPr>
        <w:tabs>
          <w:tab w:val="left" w:pos="1187"/>
        </w:tabs>
        <w:spacing w:before="19" w:after="0" w:line="240" w:lineRule="auto"/>
        <w:ind w:left="1186" w:right="0" w:hanging="361"/>
        <w:jc w:val="left"/>
        <w:rPr>
          <w:rFonts w:ascii="Times New Roman" w:eastAsia="Times New Roman"/>
        </w:rPr>
      </w:pPr>
      <w:r>
        <w:t>中标通知书</w:t>
      </w:r>
    </w:p>
    <w:p>
      <w:pPr>
        <w:pStyle w:val="18"/>
        <w:numPr>
          <w:ilvl w:val="1"/>
          <w:numId w:val="6"/>
        </w:numPr>
        <w:tabs>
          <w:tab w:val="left" w:pos="1847"/>
        </w:tabs>
        <w:spacing w:before="93" w:after="0" w:line="312" w:lineRule="auto"/>
        <w:ind w:left="826" w:right="991" w:firstLine="480"/>
        <w:jc w:val="left"/>
        <w:rPr>
          <w:sz w:val="24"/>
        </w:rPr>
      </w:pPr>
      <w:r>
        <w:rPr>
          <w:spacing w:val="-15"/>
          <w:sz w:val="24"/>
        </w:rPr>
        <w:t>招标人根据评标结果，按照《浙江省招标投标条例》的要求，对中标候选人、</w:t>
      </w:r>
      <w:r>
        <w:rPr>
          <w:spacing w:val="-3"/>
          <w:sz w:val="24"/>
        </w:rPr>
        <w:t>被否决的投标及否决原因进行公示。投标人和其他利害关系人认为招标投标活动不符</w:t>
      </w:r>
      <w:r>
        <w:rPr>
          <w:spacing w:val="-7"/>
          <w:sz w:val="24"/>
        </w:rPr>
        <w:t>合法律、行政法规规定的，可以在中标候选人公示期间向有关行政监督部门投诉。就</w:t>
      </w:r>
    </w:p>
    <w:p>
      <w:pPr>
        <w:pStyle w:val="11"/>
        <w:spacing w:before="1" w:line="312" w:lineRule="auto"/>
        <w:ind w:left="826" w:right="1111"/>
        <w:jc w:val="both"/>
      </w:pPr>
      <w:r>
        <w:rPr>
          <w:spacing w:val="-4"/>
        </w:rPr>
        <w:t>《中华人民共和国招标投标法实施条例》第二十二条、第四十四条、第五十四条规定事项投诉的，应当先向招标人以书面形式提出异议。</w:t>
      </w:r>
      <w:r>
        <w:rPr>
          <w:spacing w:val="-2"/>
          <w:u w:val="single"/>
        </w:rPr>
        <w:t>评标结果公示后投标人资格无效</w:t>
      </w:r>
      <w:r>
        <w:rPr>
          <w:spacing w:val="-220"/>
          <w:u w:val="single"/>
        </w:rPr>
        <w:t>的</w:t>
      </w:r>
      <w:r>
        <w:rPr>
          <w:u w:val="single"/>
        </w:rPr>
        <w:t>，评标基准价不作调整。</w:t>
      </w:r>
    </w:p>
    <w:p>
      <w:pPr>
        <w:pStyle w:val="18"/>
        <w:numPr>
          <w:ilvl w:val="1"/>
          <w:numId w:val="6"/>
        </w:numPr>
        <w:tabs>
          <w:tab w:val="left" w:pos="1847"/>
        </w:tabs>
        <w:spacing w:before="1" w:after="0" w:line="312" w:lineRule="auto"/>
        <w:ind w:left="826" w:right="1111" w:firstLine="480"/>
        <w:jc w:val="both"/>
        <w:rPr>
          <w:sz w:val="24"/>
        </w:rPr>
      </w:pPr>
      <w:r>
        <w:rPr>
          <w:spacing w:val="-3"/>
          <w:sz w:val="24"/>
        </w:rPr>
        <w:t>招标人将在公示合格后的十五天内</w:t>
      </w:r>
      <w:r>
        <w:rPr>
          <w:sz w:val="24"/>
        </w:rPr>
        <w:t>（</w:t>
      </w:r>
      <w:r>
        <w:rPr>
          <w:spacing w:val="-6"/>
          <w:sz w:val="24"/>
        </w:rPr>
        <w:t>有异议、投诉的除外</w:t>
      </w:r>
      <w:r>
        <w:rPr>
          <w:spacing w:val="-32"/>
          <w:sz w:val="24"/>
        </w:rPr>
        <w:t>）</w:t>
      </w:r>
      <w:r>
        <w:rPr>
          <w:spacing w:val="-3"/>
          <w:sz w:val="24"/>
        </w:rPr>
        <w:t>向中标人发出中</w:t>
      </w:r>
      <w:r>
        <w:rPr>
          <w:sz w:val="24"/>
        </w:rPr>
        <w:t>标通知书，并向未中标的投标人通知中标结果。</w:t>
      </w:r>
    </w:p>
    <w:p>
      <w:pPr>
        <w:pStyle w:val="18"/>
        <w:numPr>
          <w:ilvl w:val="1"/>
          <w:numId w:val="6"/>
        </w:numPr>
        <w:tabs>
          <w:tab w:val="left" w:pos="1847"/>
        </w:tabs>
        <w:spacing w:before="0" w:after="0" w:line="307" w:lineRule="exact"/>
        <w:ind w:left="1846" w:right="0" w:hanging="541"/>
        <w:jc w:val="both"/>
        <w:rPr>
          <w:sz w:val="24"/>
        </w:rPr>
      </w:pPr>
      <w:r>
        <w:rPr>
          <w:sz w:val="24"/>
        </w:rPr>
        <w:t>中标通知书将成为合同的组成部分。</w:t>
      </w:r>
    </w:p>
    <w:p>
      <w:pPr>
        <w:pStyle w:val="10"/>
        <w:numPr>
          <w:ilvl w:val="0"/>
          <w:numId w:val="6"/>
        </w:numPr>
        <w:tabs>
          <w:tab w:val="left" w:pos="1187"/>
        </w:tabs>
        <w:spacing w:before="110" w:after="0" w:line="240" w:lineRule="auto"/>
        <w:ind w:left="1186" w:right="0" w:hanging="361"/>
        <w:jc w:val="both"/>
        <w:rPr>
          <w:rFonts w:ascii="Times New Roman" w:eastAsia="Times New Roman"/>
        </w:rPr>
      </w:pPr>
      <w:r>
        <w:t>履约保证金</w:t>
      </w:r>
    </w:p>
    <w:p>
      <w:pPr>
        <w:pStyle w:val="18"/>
        <w:numPr>
          <w:ilvl w:val="1"/>
          <w:numId w:val="6"/>
        </w:numPr>
        <w:tabs>
          <w:tab w:val="left" w:pos="1847"/>
        </w:tabs>
        <w:spacing w:before="91" w:after="0" w:line="240" w:lineRule="auto"/>
        <w:ind w:left="1846" w:right="0" w:hanging="541"/>
        <w:jc w:val="both"/>
        <w:rPr>
          <w:sz w:val="24"/>
        </w:rPr>
      </w:pPr>
      <w:r>
        <w:rPr>
          <w:spacing w:val="-3"/>
          <w:sz w:val="24"/>
        </w:rPr>
        <w:t xml:space="preserve">中标人应向招标人提供投标人须知前附表第 </w:t>
      </w:r>
      <w:r>
        <w:rPr>
          <w:sz w:val="24"/>
        </w:rPr>
        <w:t>17</w:t>
      </w:r>
      <w:r>
        <w:rPr>
          <w:spacing w:val="-8"/>
          <w:sz w:val="24"/>
        </w:rPr>
        <w:t xml:space="preserve"> 项所规定的履约保证金。</w:t>
      </w:r>
    </w:p>
    <w:p>
      <w:pPr>
        <w:pStyle w:val="18"/>
        <w:numPr>
          <w:ilvl w:val="1"/>
          <w:numId w:val="6"/>
        </w:numPr>
        <w:tabs>
          <w:tab w:val="left" w:pos="1847"/>
        </w:tabs>
        <w:spacing w:before="93" w:after="0" w:line="312" w:lineRule="auto"/>
        <w:ind w:left="826" w:right="1111" w:firstLine="480"/>
        <w:jc w:val="both"/>
        <w:rPr>
          <w:sz w:val="24"/>
        </w:rPr>
      </w:pPr>
      <w:r>
        <w:rPr>
          <w:spacing w:val="-7"/>
          <w:sz w:val="24"/>
        </w:rPr>
        <w:t>中标人如未按上述规定提供履约保证金，则招标人有充分理由取消其中标资</w:t>
      </w:r>
      <w:r>
        <w:rPr>
          <w:sz w:val="24"/>
        </w:rPr>
        <w:t>格并报招标平台备案，其投标保证金不予返还。</w:t>
      </w:r>
    </w:p>
    <w:p>
      <w:pPr>
        <w:pStyle w:val="10"/>
        <w:numPr>
          <w:ilvl w:val="0"/>
          <w:numId w:val="6"/>
        </w:numPr>
        <w:tabs>
          <w:tab w:val="left" w:pos="1187"/>
        </w:tabs>
        <w:spacing w:before="17" w:after="0" w:line="240" w:lineRule="auto"/>
        <w:ind w:left="1186" w:right="0" w:hanging="361"/>
        <w:jc w:val="both"/>
        <w:rPr>
          <w:rFonts w:ascii="Times New Roman" w:eastAsia="Times New Roman"/>
        </w:rPr>
      </w:pPr>
      <w:r>
        <w:t>合同的签订</w:t>
      </w:r>
    </w:p>
    <w:p>
      <w:pPr>
        <w:pStyle w:val="18"/>
        <w:numPr>
          <w:ilvl w:val="1"/>
          <w:numId w:val="6"/>
        </w:numPr>
        <w:tabs>
          <w:tab w:val="left" w:pos="1847"/>
        </w:tabs>
        <w:spacing w:before="93" w:after="0" w:line="312" w:lineRule="auto"/>
        <w:ind w:left="826" w:right="1113" w:firstLine="480"/>
        <w:jc w:val="left"/>
        <w:rPr>
          <w:sz w:val="24"/>
        </w:rPr>
      </w:pPr>
      <w:r>
        <w:rPr>
          <w:spacing w:val="-3"/>
          <w:sz w:val="24"/>
        </w:rPr>
        <w:t xml:space="preserve">招标人和中标人应当自中标通知书发出之日起 </w:t>
      </w:r>
      <w:r>
        <w:rPr>
          <w:sz w:val="24"/>
        </w:rPr>
        <w:t>30</w:t>
      </w:r>
      <w:r>
        <w:rPr>
          <w:spacing w:val="-9"/>
          <w:sz w:val="24"/>
        </w:rPr>
        <w:t xml:space="preserve"> 天内且在投标有效期内， </w:t>
      </w:r>
      <w:r>
        <w:rPr>
          <w:sz w:val="24"/>
        </w:rPr>
        <w:t>根据招标文件和中标人的投标文件订立书面合同。</w:t>
      </w:r>
    </w:p>
    <w:p>
      <w:pPr>
        <w:pStyle w:val="18"/>
        <w:numPr>
          <w:ilvl w:val="1"/>
          <w:numId w:val="6"/>
        </w:numPr>
        <w:tabs>
          <w:tab w:val="left" w:pos="1847"/>
        </w:tabs>
        <w:spacing w:before="0" w:after="0" w:line="312" w:lineRule="auto"/>
        <w:ind w:left="826" w:right="1111" w:firstLine="480"/>
        <w:jc w:val="left"/>
        <w:rPr>
          <w:sz w:val="24"/>
        </w:rPr>
      </w:pPr>
      <w:r>
        <w:rPr>
          <w:spacing w:val="-6"/>
          <w:sz w:val="24"/>
        </w:rPr>
        <w:t>招标人在发出中标通知书后拒绝与中标人签订合同，除返还投标保证金外还</w:t>
      </w:r>
      <w:r>
        <w:rPr>
          <w:sz w:val="24"/>
        </w:rPr>
        <w:t>赔偿由此造成中标人的有关损失。</w:t>
      </w:r>
    </w:p>
    <w:p>
      <w:pPr>
        <w:pStyle w:val="18"/>
        <w:numPr>
          <w:ilvl w:val="1"/>
          <w:numId w:val="6"/>
        </w:numPr>
        <w:tabs>
          <w:tab w:val="left" w:pos="1847"/>
        </w:tabs>
        <w:spacing w:before="2" w:after="0" w:line="312" w:lineRule="auto"/>
        <w:ind w:left="826" w:right="1111" w:firstLine="480"/>
        <w:jc w:val="left"/>
        <w:rPr>
          <w:sz w:val="24"/>
        </w:rPr>
      </w:pPr>
      <w:r>
        <w:rPr>
          <w:spacing w:val="-6"/>
          <w:sz w:val="24"/>
        </w:rPr>
        <w:t>中标人拒绝在规定的时间签订合同，招标人将取消其中标资格，其投标保证</w:t>
      </w:r>
      <w:r>
        <w:rPr>
          <w:sz w:val="24"/>
        </w:rPr>
        <w:t>金不予退还，且赔偿由此造成的招标人的有关损失，同时依法承担相应法律责任。</w:t>
      </w:r>
    </w:p>
    <w:p>
      <w:pPr>
        <w:pStyle w:val="18"/>
        <w:numPr>
          <w:ilvl w:val="0"/>
          <w:numId w:val="6"/>
        </w:numPr>
        <w:tabs>
          <w:tab w:val="left" w:pos="1847"/>
        </w:tabs>
        <w:spacing w:before="2" w:after="0" w:line="312" w:lineRule="auto"/>
        <w:ind w:left="1186" w:leftChars="0" w:right="1111" w:rightChars="0" w:hanging="361" w:firstLineChars="0"/>
        <w:jc w:val="left"/>
        <w:rPr>
          <w:rFonts w:hint="default" w:eastAsia="宋体"/>
          <w:sz w:val="24"/>
          <w:lang w:val="en-US" w:eastAsia="zh-CN"/>
        </w:rPr>
      </w:pPr>
      <w:r>
        <w:rPr>
          <w:rFonts w:hint="eastAsia"/>
          <w:sz w:val="24"/>
          <w:lang w:val="en-US" w:eastAsia="zh-CN"/>
        </w:rPr>
        <w:t xml:space="preserve"> 支付担保：招标人应当向中标人提供相同金额的工程款支付担保</w:t>
      </w:r>
    </w:p>
    <w:p>
      <w:pPr>
        <w:pStyle w:val="11"/>
        <w:spacing w:before="4"/>
        <w:rPr>
          <w:sz w:val="23"/>
        </w:rPr>
      </w:pPr>
    </w:p>
    <w:p>
      <w:pPr>
        <w:pStyle w:val="8"/>
        <w:tabs>
          <w:tab w:val="left" w:pos="4546"/>
        </w:tabs>
        <w:ind w:left="3423"/>
      </w:pPr>
      <w:r>
        <w:t>第九节</w:t>
      </w:r>
      <w:r>
        <w:tab/>
      </w:r>
      <w:r>
        <w:t>重新招标和不再招标</w:t>
      </w:r>
    </w:p>
    <w:p>
      <w:pPr>
        <w:pStyle w:val="10"/>
        <w:numPr>
          <w:ilvl w:val="0"/>
          <w:numId w:val="6"/>
        </w:numPr>
        <w:tabs>
          <w:tab w:val="left" w:pos="1187"/>
        </w:tabs>
        <w:spacing w:before="97" w:after="0" w:line="240" w:lineRule="auto"/>
        <w:ind w:left="1186" w:right="0" w:hanging="361"/>
        <w:jc w:val="left"/>
        <w:rPr>
          <w:rFonts w:ascii="Times New Roman" w:eastAsia="Times New Roman"/>
        </w:rPr>
      </w:pPr>
      <w:r>
        <w:t>重新招标</w:t>
      </w:r>
    </w:p>
    <w:p>
      <w:pPr>
        <w:pStyle w:val="18"/>
        <w:numPr>
          <w:ilvl w:val="1"/>
          <w:numId w:val="6"/>
        </w:numPr>
        <w:tabs>
          <w:tab w:val="left" w:pos="1847"/>
        </w:tabs>
        <w:spacing w:before="93" w:after="0" w:line="240" w:lineRule="auto"/>
        <w:ind w:left="1846" w:right="0" w:hanging="541"/>
        <w:jc w:val="left"/>
        <w:rPr>
          <w:sz w:val="24"/>
        </w:rPr>
      </w:pPr>
      <w:r>
        <w:rPr>
          <w:sz w:val="24"/>
        </w:rPr>
        <w:t>有下列情形之一的，招标人将重新招标：</w:t>
      </w:r>
    </w:p>
    <w:p>
      <w:pPr>
        <w:pStyle w:val="18"/>
        <w:numPr>
          <w:ilvl w:val="0"/>
          <w:numId w:val="9"/>
        </w:numPr>
        <w:tabs>
          <w:tab w:val="left" w:pos="1788"/>
        </w:tabs>
        <w:spacing w:before="93" w:after="0" w:line="240" w:lineRule="auto"/>
        <w:ind w:left="1787" w:right="0" w:hanging="602"/>
        <w:jc w:val="left"/>
        <w:rPr>
          <w:sz w:val="24"/>
        </w:rPr>
      </w:pPr>
      <w:r>
        <w:rPr>
          <w:sz w:val="24"/>
        </w:rPr>
        <w:t>投标截止时间止，投标人少于 3 个的；</w:t>
      </w:r>
    </w:p>
    <w:p>
      <w:pPr>
        <w:pStyle w:val="18"/>
        <w:numPr>
          <w:ilvl w:val="0"/>
          <w:numId w:val="9"/>
        </w:numPr>
        <w:tabs>
          <w:tab w:val="left" w:pos="1788"/>
        </w:tabs>
        <w:spacing w:before="91" w:after="0" w:line="240" w:lineRule="auto"/>
        <w:ind w:left="1787" w:right="0" w:hanging="602"/>
        <w:jc w:val="left"/>
        <w:rPr>
          <w:sz w:val="24"/>
        </w:rPr>
      </w:pPr>
      <w:r>
        <w:rPr>
          <w:sz w:val="24"/>
        </w:rPr>
        <w:t>经评标委员会评审后否决所有投标的。</w:t>
      </w:r>
    </w:p>
    <w:p>
      <w:pPr>
        <w:pStyle w:val="10"/>
        <w:numPr>
          <w:ilvl w:val="0"/>
          <w:numId w:val="6"/>
        </w:numPr>
        <w:tabs>
          <w:tab w:val="left" w:pos="1128"/>
        </w:tabs>
        <w:spacing w:before="110" w:after="0" w:line="240" w:lineRule="auto"/>
        <w:ind w:left="1127" w:right="0" w:hanging="302"/>
        <w:jc w:val="left"/>
        <w:rPr>
          <w:rFonts w:ascii="Times New Roman" w:eastAsia="Times New Roman"/>
          <w:sz w:val="22"/>
        </w:rPr>
      </w:pPr>
      <w:r>
        <w:t>不再招标</w:t>
      </w:r>
    </w:p>
    <w:p>
      <w:pPr>
        <w:pStyle w:val="18"/>
        <w:numPr>
          <w:ilvl w:val="1"/>
          <w:numId w:val="6"/>
        </w:numPr>
        <w:tabs>
          <w:tab w:val="left" w:pos="1847"/>
        </w:tabs>
        <w:spacing w:before="94" w:after="0" w:line="240" w:lineRule="auto"/>
        <w:ind w:left="1846" w:right="0" w:hanging="541"/>
        <w:jc w:val="left"/>
        <w:rPr>
          <w:sz w:val="24"/>
        </w:rPr>
      </w:pPr>
      <w:r>
        <w:rPr>
          <w:spacing w:val="-5"/>
          <w:sz w:val="24"/>
        </w:rPr>
        <w:t xml:space="preserve">重新招标后投标人仍少于 </w:t>
      </w:r>
      <w:r>
        <w:rPr>
          <w:sz w:val="24"/>
        </w:rPr>
        <w:t>3</w:t>
      </w:r>
      <w:r>
        <w:rPr>
          <w:spacing w:val="-14"/>
          <w:sz w:val="24"/>
        </w:rPr>
        <w:t xml:space="preserve"> 个或者所有投标被否决的，招标人自行决定不再</w:t>
      </w:r>
    </w:p>
    <w:p>
      <w:pPr>
        <w:spacing w:after="0" w:line="240" w:lineRule="auto"/>
        <w:jc w:val="left"/>
        <w:rPr>
          <w:sz w:val="24"/>
        </w:rPr>
        <w:sectPr>
          <w:pgSz w:w="11910" w:h="16840"/>
          <w:pgMar w:top="1580" w:right="360" w:bottom="1300" w:left="760" w:header="0" w:footer="1109" w:gutter="0"/>
        </w:sectPr>
      </w:pPr>
    </w:p>
    <w:p>
      <w:pPr>
        <w:pStyle w:val="11"/>
        <w:rPr>
          <w:sz w:val="20"/>
        </w:rPr>
      </w:pPr>
    </w:p>
    <w:p>
      <w:pPr>
        <w:pStyle w:val="11"/>
        <w:spacing w:before="1"/>
        <w:rPr>
          <w:sz w:val="20"/>
        </w:rPr>
      </w:pPr>
    </w:p>
    <w:p>
      <w:pPr>
        <w:pStyle w:val="11"/>
        <w:spacing w:before="66"/>
        <w:ind w:left="826"/>
      </w:pPr>
      <w:r>
        <w:t>招标。</w:t>
      </w:r>
    </w:p>
    <w:p>
      <w:pPr>
        <w:pStyle w:val="11"/>
        <w:rPr>
          <w:sz w:val="20"/>
        </w:rPr>
      </w:pPr>
    </w:p>
    <w:p>
      <w:pPr>
        <w:spacing w:after="0"/>
        <w:rPr>
          <w:sz w:val="20"/>
        </w:rPr>
        <w:sectPr>
          <w:pgSz w:w="11910" w:h="16840"/>
          <w:pgMar w:top="1580" w:right="360" w:bottom="1300" w:left="760" w:header="0" w:footer="1109" w:gutter="0"/>
        </w:sectPr>
      </w:pPr>
    </w:p>
    <w:p>
      <w:pPr>
        <w:pStyle w:val="11"/>
      </w:pPr>
    </w:p>
    <w:p>
      <w:pPr>
        <w:pStyle w:val="11"/>
        <w:spacing w:before="3"/>
        <w:rPr>
          <w:sz w:val="23"/>
        </w:rPr>
      </w:pPr>
    </w:p>
    <w:p>
      <w:pPr>
        <w:pStyle w:val="10"/>
        <w:numPr>
          <w:ilvl w:val="0"/>
          <w:numId w:val="6"/>
        </w:numPr>
        <w:tabs>
          <w:tab w:val="left" w:pos="1185"/>
        </w:tabs>
        <w:spacing w:before="0" w:after="0" w:line="240" w:lineRule="auto"/>
        <w:ind w:left="1185" w:right="0" w:hanging="364"/>
        <w:jc w:val="left"/>
        <w:rPr>
          <w:sz w:val="22"/>
        </w:rPr>
      </w:pPr>
      <w:r>
        <w:rPr>
          <w:spacing w:val="-2"/>
        </w:rPr>
        <w:t>对招标人的纪律要求</w:t>
      </w:r>
    </w:p>
    <w:p>
      <w:pPr>
        <w:tabs>
          <w:tab w:val="left" w:pos="1716"/>
        </w:tabs>
        <w:spacing w:before="198"/>
        <w:ind w:left="593" w:right="0" w:firstLine="0"/>
        <w:jc w:val="left"/>
        <w:rPr>
          <w:b/>
          <w:sz w:val="28"/>
        </w:rPr>
      </w:pPr>
      <w:r>
        <w:br w:type="column"/>
      </w:r>
      <w:r>
        <w:rPr>
          <w:b/>
          <w:sz w:val="28"/>
        </w:rPr>
        <w:t>第十节</w:t>
      </w:r>
      <w:r>
        <w:rPr>
          <w:b/>
          <w:sz w:val="28"/>
        </w:rPr>
        <w:tab/>
      </w:r>
      <w:r>
        <w:rPr>
          <w:b/>
          <w:sz w:val="28"/>
        </w:rPr>
        <w:t>纪律与监督</w:t>
      </w:r>
    </w:p>
    <w:p>
      <w:pPr>
        <w:spacing w:after="0"/>
        <w:jc w:val="left"/>
        <w:rPr>
          <w:sz w:val="28"/>
        </w:rPr>
        <w:sectPr>
          <w:type w:val="continuous"/>
          <w:pgSz w:w="11910" w:h="16840"/>
          <w:pgMar w:top="1580" w:right="360" w:bottom="1220" w:left="760" w:header="720" w:footer="720" w:gutter="0"/>
          <w:cols w:equalWidth="0" w:num="2">
            <w:col w:w="3352" w:space="40"/>
            <w:col w:w="7398"/>
          </w:cols>
        </w:sectPr>
      </w:pPr>
    </w:p>
    <w:p>
      <w:pPr>
        <w:pStyle w:val="18"/>
        <w:numPr>
          <w:ilvl w:val="1"/>
          <w:numId w:val="6"/>
        </w:numPr>
        <w:tabs>
          <w:tab w:val="left" w:pos="1909"/>
        </w:tabs>
        <w:spacing w:before="52" w:after="0" w:line="280" w:lineRule="auto"/>
        <w:ind w:left="826" w:right="1113" w:firstLine="480"/>
        <w:jc w:val="left"/>
        <w:rPr>
          <w:sz w:val="24"/>
        </w:rPr>
      </w:pPr>
      <w:r>
        <w:rPr>
          <w:sz w:val="24"/>
        </w:rPr>
        <w:t>招标人不得泄漏招标投标活动中应当保密的情况和资料，不得与投标人串通损害国家利益、社会公共利益或者他人合法权益。</w:t>
      </w:r>
    </w:p>
    <w:p>
      <w:pPr>
        <w:pStyle w:val="10"/>
        <w:numPr>
          <w:ilvl w:val="0"/>
          <w:numId w:val="6"/>
        </w:numPr>
        <w:tabs>
          <w:tab w:val="left" w:pos="1190"/>
        </w:tabs>
        <w:spacing w:before="0" w:after="0" w:line="240" w:lineRule="auto"/>
        <w:ind w:left="1189" w:right="0" w:hanging="364"/>
        <w:jc w:val="left"/>
        <w:rPr>
          <w:sz w:val="22"/>
        </w:rPr>
      </w:pPr>
      <w:r>
        <w:rPr>
          <w:position w:val="1"/>
        </w:rPr>
        <w:t>对投标人的纪律要求</w:t>
      </w:r>
    </w:p>
    <w:p>
      <w:pPr>
        <w:pStyle w:val="18"/>
        <w:numPr>
          <w:ilvl w:val="1"/>
          <w:numId w:val="6"/>
        </w:numPr>
        <w:tabs>
          <w:tab w:val="left" w:pos="1909"/>
        </w:tabs>
        <w:spacing w:before="43" w:after="0" w:line="280" w:lineRule="auto"/>
        <w:ind w:left="826" w:right="1077" w:firstLine="480"/>
        <w:jc w:val="both"/>
        <w:rPr>
          <w:sz w:val="24"/>
        </w:rPr>
      </w:pPr>
      <w:r>
        <w:rPr>
          <w:sz w:val="24"/>
        </w:rPr>
        <w:t>投标人不得相互串通投标或者与招标人串通投标，不得向招标人或者评标</w:t>
      </w:r>
      <w:r>
        <w:rPr>
          <w:spacing w:val="-1"/>
          <w:sz w:val="24"/>
        </w:rPr>
        <w:t xml:space="preserve">委员会成员行贿谋取中标，不得以他人名义投标或者以其他方式弄虚作假骗取中标； </w:t>
      </w:r>
      <w:r>
        <w:rPr>
          <w:sz w:val="24"/>
        </w:rPr>
        <w:t>投标人不得以任何方式干扰、影响评标工作。</w:t>
      </w:r>
    </w:p>
    <w:p>
      <w:pPr>
        <w:pStyle w:val="10"/>
        <w:numPr>
          <w:ilvl w:val="0"/>
          <w:numId w:val="6"/>
        </w:numPr>
        <w:tabs>
          <w:tab w:val="left" w:pos="1185"/>
        </w:tabs>
        <w:spacing w:before="1" w:after="0" w:line="240" w:lineRule="auto"/>
        <w:ind w:left="1185" w:right="0" w:hanging="364"/>
        <w:jc w:val="left"/>
        <w:rPr>
          <w:sz w:val="22"/>
        </w:rPr>
      </w:pPr>
      <w:r>
        <w:t>对评标委员会成员的纪律要求</w:t>
      </w:r>
    </w:p>
    <w:p>
      <w:pPr>
        <w:pStyle w:val="18"/>
        <w:numPr>
          <w:ilvl w:val="1"/>
          <w:numId w:val="6"/>
        </w:numPr>
        <w:tabs>
          <w:tab w:val="left" w:pos="1909"/>
        </w:tabs>
        <w:spacing w:before="52" w:after="0" w:line="280" w:lineRule="auto"/>
        <w:ind w:left="826" w:right="1111" w:firstLine="480"/>
        <w:jc w:val="both"/>
        <w:rPr>
          <w:sz w:val="24"/>
        </w:rPr>
      </w:pPr>
      <w:r>
        <w:rPr>
          <w:sz w:val="24"/>
        </w:rPr>
        <w:t>评标委员会成员不得收受他人的财物或者其他好处，不得向他人透漏对投</w:t>
      </w:r>
      <w:r>
        <w:rPr>
          <w:spacing w:val="-4"/>
          <w:sz w:val="24"/>
        </w:rPr>
        <w:t>标文件的评审和比较、中标候选人的推荐情况以及评标有关的其他情况。在评标活动</w:t>
      </w:r>
      <w:r>
        <w:rPr>
          <w:spacing w:val="-7"/>
          <w:sz w:val="24"/>
        </w:rPr>
        <w:t>中，评标委员会成员不得擅离职守，影响评标程序正常进行，不得使用第三章“评标</w:t>
      </w:r>
      <w:r>
        <w:rPr>
          <w:sz w:val="24"/>
        </w:rPr>
        <w:t>办法”没有规定的评审因素和标准进行评标。</w:t>
      </w:r>
    </w:p>
    <w:p>
      <w:pPr>
        <w:pStyle w:val="10"/>
        <w:numPr>
          <w:ilvl w:val="0"/>
          <w:numId w:val="6"/>
        </w:numPr>
        <w:tabs>
          <w:tab w:val="left" w:pos="1185"/>
        </w:tabs>
        <w:spacing w:before="1" w:after="0" w:line="240" w:lineRule="auto"/>
        <w:ind w:left="1185" w:right="0" w:hanging="364"/>
        <w:jc w:val="left"/>
        <w:rPr>
          <w:sz w:val="22"/>
        </w:rPr>
      </w:pPr>
      <w:r>
        <w:t>对与评标活动有关的工作人员的纪律要求</w:t>
      </w:r>
    </w:p>
    <w:p>
      <w:pPr>
        <w:pStyle w:val="18"/>
        <w:numPr>
          <w:ilvl w:val="1"/>
          <w:numId w:val="6"/>
        </w:numPr>
        <w:tabs>
          <w:tab w:val="left" w:pos="1909"/>
        </w:tabs>
        <w:spacing w:before="53" w:after="0" w:line="280" w:lineRule="auto"/>
        <w:ind w:left="821" w:right="1077" w:firstLine="484"/>
        <w:jc w:val="both"/>
        <w:rPr>
          <w:b/>
          <w:sz w:val="24"/>
        </w:rPr>
      </w:pPr>
      <w:r>
        <w:rPr>
          <w:sz w:val="24"/>
        </w:rPr>
        <w:t>与评标活动有关的工作人员不得收受他人的财物或者其他好处，不得向他</w:t>
      </w:r>
      <w:r>
        <w:rPr>
          <w:spacing w:val="-1"/>
          <w:sz w:val="24"/>
        </w:rPr>
        <w:t>人透漏对投标文件的评审和比较、中标候选人的推荐情况以及评标有关的其他情况。在评标活动中，与评标活动有关的工作人员不得擅离职守，影响评标程序正常进行。</w:t>
      </w:r>
      <w:r>
        <w:rPr>
          <w:b/>
          <w:sz w:val="24"/>
        </w:rPr>
        <w:t>37.投诉</w:t>
      </w:r>
    </w:p>
    <w:p>
      <w:pPr>
        <w:pStyle w:val="11"/>
        <w:spacing w:before="32" w:line="312" w:lineRule="auto"/>
        <w:ind w:left="826" w:right="1017" w:firstLine="480"/>
        <w:jc w:val="both"/>
      </w:pPr>
      <w:r>
        <w:t>37.1</w:t>
      </w:r>
      <w:r>
        <w:rPr>
          <w:spacing w:val="-9"/>
        </w:rPr>
        <w:t xml:space="preserve"> 投标人和其他利害关系人认为本次招标活动违反法律、法规和规章规定的， </w:t>
      </w:r>
      <w:r>
        <w:t>有权向有关行政监督部门投诉。</w:t>
      </w:r>
    </w:p>
    <w:p>
      <w:pPr>
        <w:spacing w:after="0" w:line="312" w:lineRule="auto"/>
        <w:jc w:val="both"/>
        <w:sectPr>
          <w:type w:val="continuous"/>
          <w:pgSz w:w="11910" w:h="16840"/>
          <w:pgMar w:top="1580" w:right="360" w:bottom="1220" w:left="760" w:header="720" w:footer="720" w:gutter="0"/>
        </w:sectPr>
      </w:pPr>
    </w:p>
    <w:p>
      <w:pPr>
        <w:pStyle w:val="11"/>
        <w:rPr>
          <w:sz w:val="20"/>
        </w:rPr>
      </w:pPr>
    </w:p>
    <w:p>
      <w:pPr>
        <w:pStyle w:val="11"/>
        <w:spacing w:before="1"/>
        <w:rPr>
          <w:sz w:val="20"/>
        </w:rPr>
      </w:pPr>
    </w:p>
    <w:p>
      <w:pPr>
        <w:pStyle w:val="10"/>
        <w:tabs>
          <w:tab w:val="left" w:pos="4531"/>
        </w:tabs>
        <w:spacing w:before="66"/>
        <w:ind w:left="3569" w:firstLine="723" w:firstLineChars="300"/>
      </w:pPr>
      <w:r>
        <w:t>第三章</w:t>
      </w:r>
      <w:r>
        <w:tab/>
      </w:r>
      <w:r>
        <w:t>评标办法</w:t>
      </w:r>
    </w:p>
    <w:p>
      <w:pPr>
        <w:spacing w:before="110"/>
        <w:ind w:left="826" w:right="0" w:firstLine="0"/>
        <w:jc w:val="left"/>
        <w:rPr>
          <w:b/>
          <w:sz w:val="24"/>
        </w:rPr>
      </w:pPr>
      <w:r>
        <w:rPr>
          <w:b/>
          <w:sz w:val="24"/>
        </w:rPr>
        <w:t>1、总则</w:t>
      </w:r>
    </w:p>
    <w:p>
      <w:pPr>
        <w:pStyle w:val="11"/>
        <w:spacing w:before="125" w:line="343" w:lineRule="auto"/>
        <w:ind w:left="826" w:right="1108" w:firstLine="480"/>
        <w:jc w:val="both"/>
      </w:pPr>
      <w:r>
        <w:rPr>
          <w:spacing w:val="-18"/>
        </w:rPr>
        <w:t>根据《中华人民共和国招标投标法》《中华人民共和国招标投标法实施条例》《评</w:t>
      </w:r>
      <w:r>
        <w:rPr>
          <w:spacing w:val="-5"/>
        </w:rPr>
        <w:t>标委员会和评标办法暂行规定》等法律、法规规定，制定本评标办法。评标活动依法</w:t>
      </w:r>
      <w:r>
        <w:rPr>
          <w:spacing w:val="-6"/>
        </w:rPr>
        <w:t>进行，任何单位和个人不得非法干预或者影响评标过程和结果。评标活动及其当事人</w:t>
      </w:r>
      <w:r>
        <w:t>应当接受依法实施的监督。</w:t>
      </w:r>
    </w:p>
    <w:p>
      <w:pPr>
        <w:pStyle w:val="10"/>
        <w:spacing w:line="293" w:lineRule="exact"/>
      </w:pPr>
      <w:r>
        <w:t>2、评标程序</w:t>
      </w:r>
    </w:p>
    <w:p>
      <w:pPr>
        <w:pStyle w:val="18"/>
        <w:numPr>
          <w:ilvl w:val="1"/>
          <w:numId w:val="10"/>
        </w:numPr>
        <w:tabs>
          <w:tab w:val="left" w:pos="1784"/>
        </w:tabs>
        <w:spacing w:before="93" w:after="0" w:line="240" w:lineRule="auto"/>
        <w:ind w:left="1784" w:right="0" w:hanging="480"/>
        <w:jc w:val="left"/>
        <w:rPr>
          <w:sz w:val="24"/>
        </w:rPr>
      </w:pPr>
      <w:r>
        <w:rPr>
          <w:sz w:val="24"/>
        </w:rPr>
        <w:t>评标委员会先对投标保证金、资格标进行评审，再对商务标评审。</w:t>
      </w:r>
    </w:p>
    <w:p>
      <w:pPr>
        <w:pStyle w:val="18"/>
        <w:numPr>
          <w:ilvl w:val="1"/>
          <w:numId w:val="10"/>
        </w:numPr>
        <w:tabs>
          <w:tab w:val="left" w:pos="1784"/>
        </w:tabs>
        <w:spacing w:before="93" w:after="0" w:line="336" w:lineRule="auto"/>
        <w:ind w:left="826" w:right="2761" w:firstLine="477"/>
        <w:jc w:val="left"/>
        <w:rPr>
          <w:b/>
          <w:sz w:val="24"/>
        </w:rPr>
      </w:pPr>
      <w:r>
        <w:rPr>
          <w:spacing w:val="-1"/>
          <w:sz w:val="24"/>
        </w:rPr>
        <w:t>商务标评审只针对通过投标保证金和资格标评审的投标人。</w:t>
      </w:r>
      <w:r>
        <w:rPr>
          <w:b/>
          <w:sz w:val="24"/>
        </w:rPr>
        <w:t>3.评标标准及办法</w:t>
      </w:r>
    </w:p>
    <w:p>
      <w:pPr>
        <w:pStyle w:val="18"/>
        <w:numPr>
          <w:ilvl w:val="1"/>
          <w:numId w:val="11"/>
        </w:numPr>
        <w:tabs>
          <w:tab w:val="left" w:pos="1727"/>
        </w:tabs>
        <w:spacing w:before="10" w:after="0" w:line="240" w:lineRule="auto"/>
        <w:ind w:left="1726" w:right="0" w:hanging="421"/>
        <w:jc w:val="left"/>
        <w:rPr>
          <w:sz w:val="24"/>
        </w:rPr>
      </w:pPr>
      <w:r>
        <w:rPr>
          <w:spacing w:val="-4"/>
          <w:sz w:val="24"/>
        </w:rPr>
        <w:t xml:space="preserve">评标分值由报价分组成。其中报价分值 </w:t>
      </w:r>
      <w:r>
        <w:rPr>
          <w:sz w:val="24"/>
        </w:rPr>
        <w:t>100</w:t>
      </w:r>
      <w:r>
        <w:rPr>
          <w:spacing w:val="-20"/>
          <w:sz w:val="24"/>
        </w:rPr>
        <w:t xml:space="preserve"> 分。</w:t>
      </w:r>
    </w:p>
    <w:p>
      <w:pPr>
        <w:pStyle w:val="10"/>
        <w:numPr>
          <w:ilvl w:val="1"/>
          <w:numId w:val="11"/>
        </w:numPr>
        <w:tabs>
          <w:tab w:val="left" w:pos="1727"/>
        </w:tabs>
        <w:spacing w:before="132" w:after="0" w:line="343" w:lineRule="auto"/>
        <w:ind w:left="826" w:right="1045" w:firstLine="480"/>
        <w:jc w:val="both"/>
      </w:pPr>
      <w:r>
        <w:t xml:space="preserve">在评标过程中，评标委员会发现投标人有下列情形之一的，应否决其投标， </w:t>
      </w:r>
      <w:r>
        <w:rPr>
          <w:spacing w:val="-4"/>
        </w:rPr>
        <w:t>不再对其投标文件进行评审，也不影响本项目继续评标。评标结束后，评标委员会应</w:t>
      </w:r>
      <w:r>
        <w:rPr>
          <w:spacing w:val="4"/>
        </w:rPr>
        <w:t>将有串通投标嫌疑的投标文件及相关评标分析材料及时移交</w:t>
      </w:r>
      <w:r>
        <w:rPr>
          <w:b w:val="0"/>
          <w:spacing w:val="4"/>
          <w:u w:val="single"/>
        </w:rPr>
        <w:t>行业主管部门</w:t>
      </w:r>
      <w:r>
        <w:rPr>
          <w:spacing w:val="4"/>
        </w:rPr>
        <w:t>作进一步</w:t>
      </w:r>
      <w:r>
        <w:rPr>
          <w:spacing w:val="3"/>
        </w:rPr>
        <w:t>调查处理，即使最终无法认定串通投标行为成立，也不影响否决其投标的处理结果。</w:t>
      </w:r>
    </w:p>
    <w:p>
      <w:pPr>
        <w:pStyle w:val="18"/>
        <w:numPr>
          <w:ilvl w:val="2"/>
          <w:numId w:val="11"/>
        </w:numPr>
        <w:tabs>
          <w:tab w:val="left" w:pos="1967"/>
        </w:tabs>
        <w:spacing w:before="3" w:after="0" w:line="343" w:lineRule="auto"/>
        <w:ind w:left="826" w:right="1113" w:firstLine="480"/>
        <w:jc w:val="both"/>
        <w:rPr>
          <w:sz w:val="24"/>
        </w:rPr>
      </w:pPr>
      <w:r>
        <w:rPr>
          <w:sz w:val="24"/>
        </w:rPr>
        <w:t>招标人（或招标代理机构）</w:t>
      </w:r>
      <w:r>
        <w:rPr>
          <w:spacing w:val="-1"/>
          <w:sz w:val="24"/>
        </w:rPr>
        <w:t>在规定的递交投标文件截止时间后，协助投标</w:t>
      </w:r>
      <w:r>
        <w:rPr>
          <w:sz w:val="24"/>
        </w:rPr>
        <w:t>人撤换投标文件、更改报价；</w:t>
      </w:r>
    </w:p>
    <w:p>
      <w:pPr>
        <w:pStyle w:val="18"/>
        <w:numPr>
          <w:ilvl w:val="2"/>
          <w:numId w:val="11"/>
        </w:numPr>
        <w:tabs>
          <w:tab w:val="left" w:pos="1967"/>
        </w:tabs>
        <w:spacing w:before="0" w:after="0" w:line="345" w:lineRule="auto"/>
        <w:ind w:left="826" w:right="1113" w:firstLine="480"/>
        <w:jc w:val="both"/>
        <w:rPr>
          <w:sz w:val="24"/>
        </w:rPr>
      </w:pPr>
      <w:r>
        <w:rPr>
          <w:sz w:val="24"/>
        </w:rPr>
        <w:t>招标人（或招标代理机构）</w:t>
      </w:r>
      <w:r>
        <w:rPr>
          <w:spacing w:val="-1"/>
          <w:sz w:val="24"/>
        </w:rPr>
        <w:t>泄露投标人名称、数量或联系方式等应当保密</w:t>
      </w:r>
      <w:r>
        <w:rPr>
          <w:sz w:val="24"/>
        </w:rPr>
        <w:t>的事项；</w:t>
      </w:r>
    </w:p>
    <w:p>
      <w:pPr>
        <w:pStyle w:val="18"/>
        <w:numPr>
          <w:ilvl w:val="2"/>
          <w:numId w:val="11"/>
        </w:numPr>
        <w:tabs>
          <w:tab w:val="left" w:pos="1967"/>
        </w:tabs>
        <w:spacing w:before="0" w:after="0" w:line="303" w:lineRule="exact"/>
        <w:ind w:left="1966" w:right="0" w:hanging="661"/>
        <w:jc w:val="both"/>
        <w:rPr>
          <w:sz w:val="24"/>
        </w:rPr>
      </w:pPr>
      <w:r>
        <w:rPr>
          <w:sz w:val="24"/>
        </w:rPr>
        <w:t>不同投标人的投标文件由同一单位（或个人）编制或提供投标咨询服务；</w:t>
      </w:r>
    </w:p>
    <w:p>
      <w:pPr>
        <w:pStyle w:val="18"/>
        <w:numPr>
          <w:ilvl w:val="2"/>
          <w:numId w:val="11"/>
        </w:numPr>
        <w:tabs>
          <w:tab w:val="left" w:pos="1967"/>
        </w:tabs>
        <w:spacing w:before="130" w:after="0" w:line="240" w:lineRule="auto"/>
        <w:ind w:left="1966" w:right="0" w:hanging="661"/>
        <w:jc w:val="both"/>
        <w:rPr>
          <w:sz w:val="24"/>
        </w:rPr>
      </w:pPr>
      <w:r>
        <w:rPr>
          <w:sz w:val="24"/>
        </w:rPr>
        <w:t>不同投标人使用同一人或者同一单位的资金交纳投标保证金；</w:t>
      </w:r>
    </w:p>
    <w:p>
      <w:pPr>
        <w:pStyle w:val="18"/>
        <w:numPr>
          <w:ilvl w:val="2"/>
          <w:numId w:val="11"/>
        </w:numPr>
        <w:tabs>
          <w:tab w:val="left" w:pos="1967"/>
        </w:tabs>
        <w:spacing w:before="135" w:after="0" w:line="343" w:lineRule="auto"/>
        <w:ind w:left="826" w:right="1113" w:firstLine="480"/>
        <w:jc w:val="both"/>
        <w:rPr>
          <w:sz w:val="24"/>
        </w:rPr>
      </w:pPr>
      <w:r>
        <w:rPr>
          <w:spacing w:val="-1"/>
          <w:sz w:val="24"/>
        </w:rPr>
        <w:t>不同投标人委托同一人办理投标事宜的或不同投标人与同一投标人联合投</w:t>
      </w:r>
      <w:r>
        <w:rPr>
          <w:sz w:val="24"/>
        </w:rPr>
        <w:t>标的；</w:t>
      </w:r>
    </w:p>
    <w:p>
      <w:pPr>
        <w:pStyle w:val="18"/>
        <w:numPr>
          <w:ilvl w:val="2"/>
          <w:numId w:val="11"/>
        </w:numPr>
        <w:tabs>
          <w:tab w:val="left" w:pos="1967"/>
        </w:tabs>
        <w:spacing w:before="0" w:after="0" w:line="345" w:lineRule="auto"/>
        <w:ind w:left="826" w:right="1113" w:firstLine="480"/>
        <w:jc w:val="both"/>
        <w:rPr>
          <w:sz w:val="24"/>
        </w:rPr>
      </w:pPr>
      <w:r>
        <w:rPr>
          <w:spacing w:val="-1"/>
          <w:sz w:val="24"/>
        </w:rPr>
        <w:t>不同投标人的投标文件内容出现非正常一致，或者报价细目呈明显规律性</w:t>
      </w:r>
      <w:r>
        <w:rPr>
          <w:sz w:val="24"/>
        </w:rPr>
        <w:t>变化；</w:t>
      </w:r>
    </w:p>
    <w:p>
      <w:pPr>
        <w:pStyle w:val="18"/>
        <w:numPr>
          <w:ilvl w:val="2"/>
          <w:numId w:val="11"/>
        </w:numPr>
        <w:tabs>
          <w:tab w:val="left" w:pos="1967"/>
        </w:tabs>
        <w:spacing w:before="0" w:after="0" w:line="303" w:lineRule="exact"/>
        <w:ind w:left="1966" w:right="0" w:hanging="661"/>
        <w:jc w:val="both"/>
        <w:rPr>
          <w:sz w:val="24"/>
        </w:rPr>
      </w:pPr>
      <w:r>
        <w:rPr>
          <w:sz w:val="24"/>
        </w:rPr>
        <w:t>不同投标人的投标文件载明的项目管理人员出现同一人的情况；</w:t>
      </w:r>
    </w:p>
    <w:p>
      <w:pPr>
        <w:pStyle w:val="18"/>
        <w:numPr>
          <w:ilvl w:val="2"/>
          <w:numId w:val="11"/>
        </w:numPr>
        <w:tabs>
          <w:tab w:val="left" w:pos="1967"/>
        </w:tabs>
        <w:spacing w:before="130" w:after="0" w:line="240" w:lineRule="auto"/>
        <w:ind w:left="1966" w:right="0" w:hanging="661"/>
        <w:jc w:val="left"/>
        <w:rPr>
          <w:sz w:val="24"/>
        </w:rPr>
      </w:pPr>
      <w:r>
        <w:rPr>
          <w:sz w:val="24"/>
        </w:rPr>
        <w:t>不同投标人的投标文件相互混装；</w:t>
      </w:r>
    </w:p>
    <w:p>
      <w:pPr>
        <w:pStyle w:val="18"/>
        <w:numPr>
          <w:ilvl w:val="2"/>
          <w:numId w:val="11"/>
        </w:numPr>
        <w:tabs>
          <w:tab w:val="left" w:pos="1967"/>
        </w:tabs>
        <w:spacing w:before="134" w:after="0" w:line="240" w:lineRule="auto"/>
        <w:ind w:left="1966" w:right="0" w:hanging="661"/>
        <w:jc w:val="left"/>
        <w:rPr>
          <w:sz w:val="24"/>
        </w:rPr>
      </w:pPr>
      <w:r>
        <w:rPr>
          <w:sz w:val="24"/>
        </w:rPr>
        <w:t>投标人之间协商投标报价等投标文件的实质性内容；</w:t>
      </w:r>
    </w:p>
    <w:p>
      <w:pPr>
        <w:pStyle w:val="18"/>
        <w:numPr>
          <w:ilvl w:val="2"/>
          <w:numId w:val="11"/>
        </w:numPr>
        <w:tabs>
          <w:tab w:val="left" w:pos="2087"/>
        </w:tabs>
        <w:spacing w:before="132" w:after="0" w:line="240" w:lineRule="auto"/>
        <w:ind w:left="2086" w:right="0" w:hanging="781"/>
        <w:jc w:val="left"/>
        <w:rPr>
          <w:sz w:val="24"/>
        </w:rPr>
      </w:pPr>
      <w:r>
        <w:rPr>
          <w:sz w:val="24"/>
        </w:rPr>
        <w:t>投标人之间约定中标人；</w:t>
      </w:r>
    </w:p>
    <w:p>
      <w:pPr>
        <w:spacing w:after="0" w:line="240" w:lineRule="auto"/>
        <w:jc w:val="left"/>
        <w:rPr>
          <w:sz w:val="24"/>
        </w:rPr>
        <w:sectPr>
          <w:pgSz w:w="11910" w:h="16840"/>
          <w:pgMar w:top="1580" w:right="360" w:bottom="1300" w:left="760" w:header="0" w:footer="1109" w:gutter="0"/>
        </w:sectPr>
      </w:pPr>
    </w:p>
    <w:p>
      <w:pPr>
        <w:pStyle w:val="11"/>
        <w:rPr>
          <w:sz w:val="20"/>
        </w:rPr>
      </w:pPr>
    </w:p>
    <w:p>
      <w:pPr>
        <w:pStyle w:val="11"/>
        <w:spacing w:before="9"/>
        <w:rPr>
          <w:sz w:val="22"/>
        </w:rPr>
      </w:pPr>
    </w:p>
    <w:p>
      <w:pPr>
        <w:pStyle w:val="18"/>
        <w:numPr>
          <w:ilvl w:val="2"/>
          <w:numId w:val="11"/>
        </w:numPr>
        <w:tabs>
          <w:tab w:val="left" w:pos="2087"/>
        </w:tabs>
        <w:spacing w:before="66" w:after="0" w:line="240" w:lineRule="auto"/>
        <w:ind w:left="2086" w:right="0" w:hanging="781"/>
        <w:jc w:val="left"/>
        <w:rPr>
          <w:sz w:val="24"/>
        </w:rPr>
      </w:pPr>
      <w:r>
        <w:rPr>
          <w:sz w:val="24"/>
        </w:rPr>
        <w:t>投标人之间约定部分投标人放弃投标或者中标；</w:t>
      </w:r>
    </w:p>
    <w:p>
      <w:pPr>
        <w:pStyle w:val="18"/>
        <w:numPr>
          <w:ilvl w:val="2"/>
          <w:numId w:val="11"/>
        </w:numPr>
        <w:tabs>
          <w:tab w:val="left" w:pos="2087"/>
        </w:tabs>
        <w:spacing w:before="132" w:after="0" w:line="240" w:lineRule="auto"/>
        <w:ind w:left="2086" w:right="0" w:hanging="781"/>
        <w:jc w:val="left"/>
        <w:rPr>
          <w:sz w:val="24"/>
        </w:rPr>
      </w:pPr>
      <w:r>
        <w:rPr>
          <w:spacing w:val="-16"/>
          <w:sz w:val="24"/>
        </w:rPr>
        <w:t>属于同一集团、协会、商会等组织成员的投标人按照该组织要求协同投标；</w:t>
      </w:r>
    </w:p>
    <w:p>
      <w:pPr>
        <w:pStyle w:val="18"/>
        <w:numPr>
          <w:ilvl w:val="2"/>
          <w:numId w:val="11"/>
        </w:numPr>
        <w:tabs>
          <w:tab w:val="left" w:pos="2087"/>
        </w:tabs>
        <w:spacing w:before="131" w:after="0" w:line="240" w:lineRule="auto"/>
        <w:ind w:left="2086" w:right="0" w:hanging="781"/>
        <w:jc w:val="left"/>
        <w:rPr>
          <w:sz w:val="24"/>
        </w:rPr>
      </w:pPr>
      <w:r>
        <w:rPr>
          <w:sz w:val="24"/>
        </w:rPr>
        <w:t>投标人之间为谋取中标或者排斥特定投标人而采取的其他联合行动。</w:t>
      </w:r>
    </w:p>
    <w:p>
      <w:pPr>
        <w:pStyle w:val="18"/>
        <w:numPr>
          <w:ilvl w:val="2"/>
          <w:numId w:val="11"/>
        </w:numPr>
        <w:tabs>
          <w:tab w:val="left" w:pos="2087"/>
        </w:tabs>
        <w:spacing w:before="134" w:after="0" w:line="240" w:lineRule="auto"/>
        <w:ind w:left="2086" w:right="0" w:hanging="781"/>
        <w:jc w:val="left"/>
        <w:rPr>
          <w:sz w:val="24"/>
        </w:rPr>
      </w:pPr>
      <w:r>
        <w:rPr>
          <w:sz w:val="24"/>
        </w:rPr>
        <w:t>招标人在开标前开启投标文件并将有关信息泄露给其他投标人；</w:t>
      </w:r>
    </w:p>
    <w:p>
      <w:pPr>
        <w:pStyle w:val="18"/>
        <w:numPr>
          <w:ilvl w:val="2"/>
          <w:numId w:val="11"/>
        </w:numPr>
        <w:tabs>
          <w:tab w:val="left" w:pos="2087"/>
        </w:tabs>
        <w:spacing w:before="132" w:after="0" w:line="240" w:lineRule="auto"/>
        <w:ind w:left="2086" w:right="0" w:hanging="781"/>
        <w:jc w:val="left"/>
        <w:rPr>
          <w:sz w:val="24"/>
        </w:rPr>
      </w:pPr>
      <w:r>
        <w:rPr>
          <w:sz w:val="24"/>
        </w:rPr>
        <w:t>招标人直接或者间接向投标人泄露标底、评标委员会成员等信息；</w:t>
      </w:r>
    </w:p>
    <w:p>
      <w:pPr>
        <w:pStyle w:val="18"/>
        <w:numPr>
          <w:ilvl w:val="2"/>
          <w:numId w:val="11"/>
        </w:numPr>
        <w:tabs>
          <w:tab w:val="left" w:pos="2087"/>
        </w:tabs>
        <w:spacing w:before="132" w:after="0" w:line="240" w:lineRule="auto"/>
        <w:ind w:left="2086" w:right="0" w:hanging="781"/>
        <w:jc w:val="left"/>
        <w:rPr>
          <w:sz w:val="24"/>
        </w:rPr>
      </w:pPr>
      <w:r>
        <w:rPr>
          <w:sz w:val="24"/>
        </w:rPr>
        <w:t>招标人明示或者暗示投标人压低或者抬高投标报价；</w:t>
      </w:r>
    </w:p>
    <w:p>
      <w:pPr>
        <w:pStyle w:val="18"/>
        <w:numPr>
          <w:ilvl w:val="2"/>
          <w:numId w:val="11"/>
        </w:numPr>
        <w:tabs>
          <w:tab w:val="left" w:pos="2087"/>
        </w:tabs>
        <w:spacing w:before="134" w:after="0" w:line="240" w:lineRule="auto"/>
        <w:ind w:left="2086" w:right="0" w:hanging="781"/>
        <w:jc w:val="left"/>
        <w:rPr>
          <w:sz w:val="24"/>
        </w:rPr>
      </w:pPr>
      <w:r>
        <w:rPr>
          <w:sz w:val="24"/>
        </w:rPr>
        <w:t>招标人明示或者暗示投标人为特定投标人中标提供方便；</w:t>
      </w:r>
    </w:p>
    <w:p>
      <w:pPr>
        <w:pStyle w:val="18"/>
        <w:numPr>
          <w:ilvl w:val="2"/>
          <w:numId w:val="11"/>
        </w:numPr>
        <w:tabs>
          <w:tab w:val="left" w:pos="2087"/>
        </w:tabs>
        <w:spacing w:before="132" w:after="0" w:line="240" w:lineRule="auto"/>
        <w:ind w:left="2086" w:right="0" w:hanging="781"/>
        <w:jc w:val="left"/>
        <w:rPr>
          <w:sz w:val="24"/>
        </w:rPr>
      </w:pPr>
      <w:r>
        <w:rPr>
          <w:sz w:val="24"/>
        </w:rPr>
        <w:t>招标人与投标人为谋求特定投标人中标而采取的其他串通行为。</w:t>
      </w:r>
    </w:p>
    <w:p>
      <w:pPr>
        <w:pStyle w:val="18"/>
        <w:numPr>
          <w:ilvl w:val="2"/>
          <w:numId w:val="11"/>
        </w:numPr>
        <w:tabs>
          <w:tab w:val="left" w:pos="2087"/>
        </w:tabs>
        <w:spacing w:before="131" w:after="0" w:line="240" w:lineRule="auto"/>
        <w:ind w:left="2086" w:right="0" w:hanging="781"/>
        <w:jc w:val="left"/>
        <w:rPr>
          <w:sz w:val="24"/>
        </w:rPr>
      </w:pPr>
      <w:r>
        <w:rPr>
          <w:sz w:val="24"/>
        </w:rPr>
        <w:t>法律、法规或规章规定的其他串通投标行为。</w:t>
      </w:r>
    </w:p>
    <w:p>
      <w:pPr>
        <w:pStyle w:val="10"/>
        <w:numPr>
          <w:ilvl w:val="1"/>
          <w:numId w:val="11"/>
        </w:numPr>
        <w:tabs>
          <w:tab w:val="left" w:pos="1729"/>
        </w:tabs>
        <w:spacing w:before="134" w:after="0" w:line="240" w:lineRule="auto"/>
        <w:ind w:left="1728" w:right="0" w:hanging="423"/>
        <w:jc w:val="left"/>
      </w:pPr>
      <w:r>
        <w:t>投标保证金评审</w:t>
      </w:r>
    </w:p>
    <w:p>
      <w:pPr>
        <w:pStyle w:val="11"/>
        <w:spacing w:before="101"/>
        <w:ind w:left="1306"/>
      </w:pPr>
      <w:r>
        <w:t>投标保证金有下列情形之一的，其投标无效，不再进入下一步评审：</w:t>
      </w:r>
    </w:p>
    <w:p>
      <w:pPr>
        <w:pStyle w:val="10"/>
        <w:numPr>
          <w:ilvl w:val="2"/>
          <w:numId w:val="11"/>
        </w:numPr>
        <w:tabs>
          <w:tab w:val="left" w:pos="1976"/>
        </w:tabs>
        <w:spacing w:before="91" w:after="0" w:line="312" w:lineRule="auto"/>
        <w:ind w:left="826" w:right="1080" w:firstLine="480"/>
        <w:jc w:val="both"/>
      </w:pPr>
      <w:r>
        <w:rPr>
          <w:spacing w:val="-3"/>
          <w:u w:val="single"/>
        </w:rPr>
        <w:t xml:space="preserve">投标人未按本投标人须知第 </w:t>
      </w:r>
      <w:r>
        <w:rPr>
          <w:u w:val="single"/>
        </w:rPr>
        <w:t>16.1</w:t>
      </w:r>
      <w:r>
        <w:rPr>
          <w:spacing w:val="-4"/>
          <w:u w:val="single"/>
        </w:rPr>
        <w:t xml:space="preserve"> 条规定提供投标保证金的或提供的投标</w:t>
      </w:r>
      <w:r>
        <w:rPr>
          <w:spacing w:val="-239"/>
          <w:u w:val="single"/>
        </w:rPr>
        <w:t>保</w:t>
      </w:r>
      <w:r>
        <w:rPr>
          <w:spacing w:val="-4"/>
          <w:u w:val="single"/>
        </w:rPr>
        <w:t xml:space="preserve">证金形式不符合本投标人须知第 </w:t>
      </w:r>
      <w:r>
        <w:rPr>
          <w:u w:val="single"/>
        </w:rPr>
        <w:t>16.1</w:t>
      </w:r>
      <w:r>
        <w:rPr>
          <w:spacing w:val="-12"/>
          <w:u w:val="single"/>
        </w:rPr>
        <w:t xml:space="preserve"> 条规定的。</w:t>
      </w:r>
    </w:p>
    <w:p>
      <w:pPr>
        <w:pStyle w:val="18"/>
        <w:numPr>
          <w:ilvl w:val="2"/>
          <w:numId w:val="11"/>
        </w:numPr>
        <w:tabs>
          <w:tab w:val="left" w:pos="2034"/>
        </w:tabs>
        <w:spacing w:before="2" w:after="0" w:line="312" w:lineRule="auto"/>
        <w:ind w:left="826" w:right="1077" w:firstLine="480"/>
        <w:jc w:val="both"/>
        <w:rPr>
          <w:b/>
          <w:sz w:val="24"/>
        </w:rPr>
      </w:pPr>
      <w:r>
        <w:rPr>
          <w:b/>
          <w:spacing w:val="-3"/>
          <w:sz w:val="24"/>
          <w:u w:val="single"/>
        </w:rPr>
        <w:t>投标人以银行保函或者保险公司保单形式提交投标保证金时，未提供银行</w:t>
      </w:r>
      <w:r>
        <w:rPr>
          <w:b/>
          <w:spacing w:val="-8"/>
          <w:sz w:val="24"/>
          <w:u w:val="single"/>
        </w:rPr>
        <w:t>保函原件或者保险公司保单原件的，或者提供的银行保函或者保险公司保单不符合要</w:t>
      </w:r>
      <w:r>
        <w:rPr>
          <w:b/>
          <w:spacing w:val="-240"/>
          <w:sz w:val="24"/>
          <w:u w:val="single"/>
        </w:rPr>
        <w:t>求</w:t>
      </w:r>
      <w:r>
        <w:rPr>
          <w:b/>
          <w:sz w:val="24"/>
          <w:u w:val="single"/>
        </w:rPr>
        <w:t>者</w:t>
      </w:r>
    </w:p>
    <w:p>
      <w:pPr>
        <w:pStyle w:val="18"/>
        <w:numPr>
          <w:ilvl w:val="0"/>
          <w:numId w:val="0"/>
        </w:numPr>
        <w:tabs>
          <w:tab w:val="left" w:pos="2034"/>
        </w:tabs>
        <w:spacing w:before="2" w:after="0" w:line="312" w:lineRule="auto"/>
        <w:ind w:right="1077" w:rightChars="0" w:firstLine="964" w:firstLineChars="400"/>
        <w:jc w:val="both"/>
        <w:rPr>
          <w:b/>
          <w:sz w:val="24"/>
        </w:rPr>
      </w:pPr>
      <w:r>
        <w:rPr>
          <w:b/>
          <w:sz w:val="24"/>
          <w:u w:val="single"/>
        </w:rPr>
        <w:t xml:space="preserve">无效的。 </w:t>
      </w:r>
    </w:p>
    <w:p>
      <w:pPr>
        <w:pStyle w:val="18"/>
        <w:numPr>
          <w:ilvl w:val="1"/>
          <w:numId w:val="11"/>
        </w:numPr>
        <w:tabs>
          <w:tab w:val="left" w:pos="1729"/>
        </w:tabs>
        <w:spacing w:before="32" w:after="0" w:line="240" w:lineRule="auto"/>
        <w:ind w:left="1728" w:right="0" w:hanging="423"/>
        <w:jc w:val="both"/>
        <w:rPr>
          <w:b/>
          <w:sz w:val="24"/>
        </w:rPr>
      </w:pPr>
      <w:r>
        <w:rPr>
          <w:b/>
          <w:sz w:val="24"/>
        </w:rPr>
        <w:t>资格标评审</w:t>
      </w:r>
    </w:p>
    <w:p>
      <w:pPr>
        <w:pStyle w:val="18"/>
        <w:numPr>
          <w:ilvl w:val="2"/>
          <w:numId w:val="11"/>
        </w:numPr>
        <w:tabs>
          <w:tab w:val="left" w:pos="1967"/>
        </w:tabs>
        <w:spacing w:before="132" w:after="0" w:line="345" w:lineRule="auto"/>
        <w:ind w:left="1306" w:right="1826" w:firstLine="0"/>
        <w:jc w:val="left"/>
        <w:rPr>
          <w:b/>
          <w:sz w:val="24"/>
        </w:rPr>
      </w:pPr>
      <w:r>
        <w:rPr>
          <w:sz w:val="24"/>
        </w:rPr>
        <w:t>资格标有下列情形之一的，其投标无效，不再进入下一步评审：</w:t>
      </w:r>
      <w:r>
        <w:rPr>
          <w:sz w:val="24"/>
          <w:u w:val="single"/>
        </w:rPr>
        <w:t xml:space="preserve"> </w:t>
      </w:r>
      <w:r>
        <w:rPr>
          <w:b/>
          <w:sz w:val="24"/>
          <w:u w:val="single"/>
        </w:rPr>
        <w:t>3.4.1.1</w:t>
      </w:r>
      <w:r>
        <w:rPr>
          <w:b/>
          <w:spacing w:val="-10"/>
          <w:sz w:val="24"/>
          <w:u w:val="single"/>
        </w:rPr>
        <w:t xml:space="preserve"> 委托代理人没有提供合法、有效的《投标授权委托书》原件的；</w:t>
      </w:r>
    </w:p>
    <w:p>
      <w:pPr>
        <w:pStyle w:val="10"/>
        <w:numPr>
          <w:ilvl w:val="3"/>
          <w:numId w:val="11"/>
        </w:numPr>
        <w:tabs>
          <w:tab w:val="left" w:pos="2209"/>
        </w:tabs>
        <w:spacing w:before="0" w:after="0" w:line="303" w:lineRule="exact"/>
        <w:ind w:left="2208" w:right="0" w:hanging="903"/>
        <w:jc w:val="left"/>
      </w:pPr>
      <w:r>
        <w:rPr>
          <w:spacing w:val="-3"/>
          <w:u w:val="single"/>
        </w:rPr>
        <w:t xml:space="preserve">资格后审申请文件份数未按投标人须知前附表第 </w:t>
      </w:r>
      <w:r>
        <w:rPr>
          <w:u w:val="single"/>
        </w:rPr>
        <w:t>14</w:t>
      </w:r>
      <w:r>
        <w:rPr>
          <w:spacing w:val="-9"/>
          <w:u w:val="single"/>
        </w:rPr>
        <w:t xml:space="preserve"> 项规定份数提供的；</w:t>
      </w:r>
    </w:p>
    <w:p>
      <w:pPr>
        <w:pStyle w:val="18"/>
        <w:numPr>
          <w:ilvl w:val="3"/>
          <w:numId w:val="11"/>
        </w:numPr>
        <w:tabs>
          <w:tab w:val="left" w:pos="2276"/>
        </w:tabs>
        <w:spacing w:before="131" w:after="0" w:line="345" w:lineRule="auto"/>
        <w:ind w:left="826" w:right="1075" w:firstLine="480"/>
        <w:jc w:val="left"/>
        <w:rPr>
          <w:b/>
          <w:sz w:val="24"/>
        </w:rPr>
      </w:pPr>
      <w:r>
        <w:rPr>
          <w:b/>
          <w:spacing w:val="-3"/>
          <w:sz w:val="24"/>
          <w:u w:val="single"/>
        </w:rPr>
        <w:t xml:space="preserve">资格后审申请文件未按第二章“投标人须知”第 </w:t>
      </w:r>
      <w:r>
        <w:rPr>
          <w:b/>
          <w:sz w:val="24"/>
          <w:u w:val="single"/>
        </w:rPr>
        <w:t>17.2</w:t>
      </w:r>
      <w:r>
        <w:rPr>
          <w:b/>
          <w:spacing w:val="-7"/>
          <w:sz w:val="24"/>
          <w:u w:val="single"/>
        </w:rPr>
        <w:t xml:space="preserve"> 款规定加盖投标</w:t>
      </w:r>
      <w:r>
        <w:rPr>
          <w:b/>
          <w:spacing w:val="-237"/>
          <w:sz w:val="24"/>
          <w:u w:val="single"/>
        </w:rPr>
        <w:t>人</w:t>
      </w:r>
      <w:r>
        <w:rPr>
          <w:b/>
          <w:sz w:val="24"/>
          <w:u w:val="single"/>
        </w:rPr>
        <w:t>公章的或未经投标人的法定代表人盖章（或签字）的；</w:t>
      </w:r>
      <w:r>
        <w:rPr>
          <w:b/>
          <w:spacing w:val="1"/>
          <w:sz w:val="24"/>
          <w:u w:val="single"/>
        </w:rPr>
        <w:t xml:space="preserve"> </w:t>
      </w:r>
    </w:p>
    <w:p>
      <w:pPr>
        <w:pStyle w:val="18"/>
        <w:numPr>
          <w:ilvl w:val="3"/>
          <w:numId w:val="11"/>
        </w:numPr>
        <w:tabs>
          <w:tab w:val="left" w:pos="2281"/>
        </w:tabs>
        <w:spacing w:before="0" w:after="0" w:line="343" w:lineRule="auto"/>
        <w:ind w:left="826" w:right="1077" w:firstLine="480"/>
        <w:jc w:val="left"/>
        <w:rPr>
          <w:b/>
          <w:sz w:val="24"/>
        </w:rPr>
      </w:pPr>
      <w:r>
        <w:rPr>
          <w:b/>
          <w:spacing w:val="6"/>
          <w:w w:val="95"/>
          <w:sz w:val="24"/>
          <w:u w:val="single"/>
        </w:rPr>
        <w:t>资格标内容不全或未按规定格式填写或关键内容字迹模糊、无法辨认</w:t>
      </w:r>
      <w:r>
        <w:rPr>
          <w:b/>
          <w:spacing w:val="-240"/>
          <w:w w:val="95"/>
          <w:sz w:val="24"/>
          <w:u w:val="single"/>
        </w:rPr>
        <w:t>的</w:t>
      </w:r>
      <w:r>
        <w:rPr>
          <w:b/>
          <w:spacing w:val="5"/>
          <w:w w:val="95"/>
          <w:sz w:val="24"/>
          <w:u w:val="single"/>
        </w:rPr>
        <w:t xml:space="preserve"> </w:t>
      </w:r>
      <w:r>
        <w:rPr>
          <w:b/>
          <w:sz w:val="24"/>
          <w:u w:val="single"/>
        </w:rPr>
        <w:t>，或者提供的证书资料不符合要求，或者提供的证书资料无效的；</w:t>
      </w:r>
    </w:p>
    <w:p>
      <w:pPr>
        <w:pStyle w:val="18"/>
        <w:numPr>
          <w:ilvl w:val="3"/>
          <w:numId w:val="11"/>
        </w:numPr>
        <w:tabs>
          <w:tab w:val="left" w:pos="2214"/>
        </w:tabs>
        <w:spacing w:before="0" w:after="0" w:line="240" w:lineRule="auto"/>
        <w:ind w:left="2213" w:right="0" w:hanging="908"/>
        <w:jc w:val="left"/>
        <w:rPr>
          <w:b/>
          <w:sz w:val="24"/>
        </w:rPr>
      </w:pPr>
      <w:r>
        <w:rPr>
          <w:b/>
          <w:spacing w:val="-4"/>
          <w:sz w:val="24"/>
          <w:u w:val="single"/>
        </w:rPr>
        <w:t xml:space="preserve">投标人存在“第二章”投标人须知第 </w:t>
      </w:r>
      <w:r>
        <w:rPr>
          <w:b/>
          <w:sz w:val="24"/>
          <w:u w:val="single"/>
        </w:rPr>
        <w:t>4.4</w:t>
      </w:r>
      <w:r>
        <w:rPr>
          <w:b/>
          <w:spacing w:val="-8"/>
          <w:sz w:val="24"/>
          <w:u w:val="single"/>
        </w:rPr>
        <w:t xml:space="preserve"> 条款情形之一的；</w:t>
      </w:r>
    </w:p>
    <w:p>
      <w:pPr>
        <w:pStyle w:val="18"/>
        <w:numPr>
          <w:ilvl w:val="3"/>
          <w:numId w:val="11"/>
        </w:numPr>
        <w:tabs>
          <w:tab w:val="left" w:pos="2214"/>
        </w:tabs>
        <w:spacing w:before="129" w:after="0" w:line="240" w:lineRule="auto"/>
        <w:ind w:left="2213" w:right="0" w:hanging="908"/>
        <w:jc w:val="left"/>
        <w:rPr>
          <w:b/>
          <w:sz w:val="24"/>
        </w:rPr>
      </w:pPr>
      <w:r>
        <w:rPr>
          <w:b/>
          <w:sz w:val="24"/>
          <w:u w:val="single"/>
        </w:rPr>
        <w:t>投标人、总监理工程师等级或类别（专业）不符合招标文件要求的；</w:t>
      </w:r>
    </w:p>
    <w:p>
      <w:pPr>
        <w:pStyle w:val="18"/>
        <w:numPr>
          <w:ilvl w:val="3"/>
          <w:numId w:val="11"/>
        </w:numPr>
        <w:tabs>
          <w:tab w:val="left" w:pos="2214"/>
        </w:tabs>
        <w:spacing w:before="107" w:after="0" w:line="240" w:lineRule="auto"/>
        <w:ind w:left="2213" w:right="0" w:hanging="908"/>
        <w:jc w:val="left"/>
        <w:rPr>
          <w:b/>
          <w:sz w:val="24"/>
        </w:rPr>
      </w:pPr>
      <w:r>
        <w:rPr>
          <w:b/>
          <w:sz w:val="24"/>
          <w:u w:val="single"/>
        </w:rPr>
        <w:t>有挂靠迹象的。</w:t>
      </w:r>
    </w:p>
    <w:p>
      <w:pPr>
        <w:pStyle w:val="18"/>
        <w:numPr>
          <w:ilvl w:val="1"/>
          <w:numId w:val="11"/>
        </w:numPr>
        <w:tabs>
          <w:tab w:val="left" w:pos="1729"/>
        </w:tabs>
        <w:spacing w:before="103" w:after="0" w:line="240" w:lineRule="auto"/>
        <w:ind w:left="1728" w:right="0" w:hanging="423"/>
        <w:jc w:val="left"/>
        <w:rPr>
          <w:b/>
          <w:sz w:val="24"/>
        </w:rPr>
      </w:pPr>
      <w:r>
        <w:rPr>
          <w:b/>
          <w:sz w:val="24"/>
        </w:rPr>
        <w:t>商务标评审</w:t>
      </w:r>
    </w:p>
    <w:p>
      <w:pPr>
        <w:pStyle w:val="18"/>
        <w:numPr>
          <w:ilvl w:val="2"/>
          <w:numId w:val="11"/>
        </w:numPr>
        <w:tabs>
          <w:tab w:val="left" w:pos="1967"/>
        </w:tabs>
        <w:spacing w:before="103" w:after="0" w:line="240" w:lineRule="auto"/>
        <w:ind w:left="1966" w:right="0" w:hanging="661"/>
        <w:jc w:val="left"/>
        <w:rPr>
          <w:sz w:val="24"/>
        </w:rPr>
      </w:pPr>
      <w:r>
        <w:rPr>
          <w:sz w:val="24"/>
        </w:rPr>
        <w:t>商务标有下列情形之一的，其投标无效，不再进入下一步评审：</w:t>
      </w:r>
    </w:p>
    <w:p>
      <w:pPr>
        <w:spacing w:after="0" w:line="240" w:lineRule="auto"/>
        <w:jc w:val="left"/>
        <w:rPr>
          <w:sz w:val="24"/>
        </w:rPr>
        <w:sectPr>
          <w:pgSz w:w="11910" w:h="16840"/>
          <w:pgMar w:top="1580" w:right="360" w:bottom="1300" w:left="760" w:header="0" w:footer="1109" w:gutter="0"/>
        </w:sectPr>
      </w:pPr>
    </w:p>
    <w:p>
      <w:pPr>
        <w:pStyle w:val="11"/>
        <w:rPr>
          <w:sz w:val="20"/>
        </w:rPr>
      </w:pPr>
    </w:p>
    <w:p>
      <w:pPr>
        <w:pStyle w:val="11"/>
        <w:spacing w:before="10"/>
        <w:rPr>
          <w:sz w:val="20"/>
        </w:rPr>
      </w:pPr>
    </w:p>
    <w:p>
      <w:pPr>
        <w:pStyle w:val="10"/>
        <w:numPr>
          <w:ilvl w:val="3"/>
          <w:numId w:val="12"/>
        </w:numPr>
        <w:tabs>
          <w:tab w:val="left" w:pos="2214"/>
        </w:tabs>
        <w:spacing w:before="67" w:after="0" w:line="319" w:lineRule="auto"/>
        <w:ind w:left="826" w:right="1080" w:firstLine="480"/>
        <w:jc w:val="left"/>
      </w:pPr>
      <w:r>
        <w:rPr>
          <w:spacing w:val="-1"/>
          <w:u w:val="single"/>
        </w:rPr>
        <w:t>商务标内容不全或者关键内容字迹模糊、无法辨认的或投标函投标报价</w:t>
      </w:r>
      <w:r>
        <w:rPr>
          <w:spacing w:val="-240"/>
          <w:u w:val="single"/>
        </w:rPr>
        <w:t>大</w:t>
      </w:r>
      <w:r>
        <w:rPr>
          <w:u w:val="single"/>
        </w:rPr>
        <w:t>写不符合国家有关规定的；</w:t>
      </w:r>
    </w:p>
    <w:p>
      <w:pPr>
        <w:pStyle w:val="18"/>
        <w:numPr>
          <w:ilvl w:val="3"/>
          <w:numId w:val="12"/>
        </w:numPr>
        <w:tabs>
          <w:tab w:val="left" w:pos="2214"/>
        </w:tabs>
        <w:spacing w:before="0" w:after="0" w:line="319" w:lineRule="auto"/>
        <w:ind w:left="826" w:right="1077" w:firstLine="480"/>
        <w:jc w:val="left"/>
        <w:rPr>
          <w:b/>
          <w:sz w:val="24"/>
        </w:rPr>
      </w:pPr>
      <w:r>
        <w:rPr>
          <w:b/>
          <w:spacing w:val="-1"/>
          <w:sz w:val="24"/>
          <w:u w:val="single"/>
        </w:rPr>
        <w:t>商务标封面或投标函未按招标文件规定要求加盖投标人单位公章、或未</w:t>
      </w:r>
      <w:r>
        <w:rPr>
          <w:b/>
          <w:spacing w:val="-240"/>
          <w:sz w:val="24"/>
          <w:u w:val="single"/>
        </w:rPr>
        <w:t>经</w:t>
      </w:r>
      <w:r>
        <w:rPr>
          <w:b/>
          <w:sz w:val="24"/>
          <w:u w:val="single"/>
        </w:rPr>
        <w:t>投标人法定代表人盖章(或签名)；</w:t>
      </w:r>
    </w:p>
    <w:p>
      <w:pPr>
        <w:pStyle w:val="18"/>
        <w:numPr>
          <w:ilvl w:val="3"/>
          <w:numId w:val="12"/>
        </w:numPr>
        <w:tabs>
          <w:tab w:val="left" w:pos="2214"/>
        </w:tabs>
        <w:spacing w:before="3" w:after="0" w:line="319" w:lineRule="auto"/>
        <w:ind w:left="826" w:right="1077" w:firstLine="480"/>
        <w:jc w:val="left"/>
        <w:rPr>
          <w:b/>
          <w:sz w:val="24"/>
        </w:rPr>
      </w:pPr>
      <w:r>
        <w:rPr>
          <w:b/>
          <w:spacing w:val="-1"/>
          <w:sz w:val="24"/>
          <w:u w:val="single"/>
        </w:rPr>
        <w:t>投标人递交两份或多份内容不同的投标文件，或在一份投标文件报有两</w:t>
      </w:r>
      <w:r>
        <w:rPr>
          <w:b/>
          <w:spacing w:val="-240"/>
          <w:sz w:val="24"/>
          <w:u w:val="single"/>
        </w:rPr>
        <w:t>个</w:t>
      </w:r>
      <w:r>
        <w:rPr>
          <w:b/>
          <w:sz w:val="24"/>
          <w:u w:val="single"/>
        </w:rPr>
        <w:t>或多个报价，且未声明哪一个有效(按招标文件规定递交备选投标方案的除外)；</w:t>
      </w:r>
    </w:p>
    <w:p>
      <w:pPr>
        <w:pStyle w:val="18"/>
        <w:numPr>
          <w:ilvl w:val="3"/>
          <w:numId w:val="12"/>
        </w:numPr>
        <w:tabs>
          <w:tab w:val="left" w:pos="2214"/>
        </w:tabs>
        <w:spacing w:before="3" w:after="0" w:line="240" w:lineRule="auto"/>
        <w:ind w:left="2213" w:right="0" w:hanging="908"/>
        <w:jc w:val="left"/>
        <w:rPr>
          <w:b/>
          <w:sz w:val="24"/>
        </w:rPr>
      </w:pPr>
      <w:r>
        <w:rPr>
          <w:b/>
          <w:sz w:val="24"/>
          <w:u w:val="single"/>
        </w:rPr>
        <w:t>商务标附有招标人不能接受的条件。</w:t>
      </w:r>
    </w:p>
    <w:p>
      <w:pPr>
        <w:pStyle w:val="18"/>
        <w:numPr>
          <w:ilvl w:val="3"/>
          <w:numId w:val="12"/>
        </w:numPr>
        <w:tabs>
          <w:tab w:val="left" w:pos="2214"/>
        </w:tabs>
        <w:spacing w:before="103" w:after="0" w:line="240" w:lineRule="auto"/>
        <w:ind w:left="2213" w:right="0" w:hanging="908"/>
        <w:jc w:val="left"/>
        <w:rPr>
          <w:b/>
          <w:sz w:val="24"/>
        </w:rPr>
      </w:pPr>
      <w:r>
        <w:rPr>
          <w:b/>
          <w:sz w:val="24"/>
          <w:u w:val="single"/>
        </w:rPr>
        <w:t>投标人擅自调整投标报价计算书中招标人提供的数据及计算程序的；</w:t>
      </w:r>
    </w:p>
    <w:p>
      <w:pPr>
        <w:pStyle w:val="18"/>
        <w:numPr>
          <w:ilvl w:val="3"/>
          <w:numId w:val="12"/>
        </w:numPr>
        <w:tabs>
          <w:tab w:val="left" w:pos="2214"/>
        </w:tabs>
        <w:spacing w:before="100" w:after="0" w:line="240" w:lineRule="auto"/>
        <w:ind w:left="2213" w:right="0" w:hanging="908"/>
        <w:jc w:val="left"/>
        <w:rPr>
          <w:b/>
          <w:sz w:val="24"/>
        </w:rPr>
      </w:pPr>
      <w:r>
        <w:rPr>
          <w:b/>
          <w:spacing w:val="-5"/>
          <w:sz w:val="24"/>
          <w:u w:val="single"/>
        </w:rPr>
        <w:t xml:space="preserve">投标人承诺的报价超出前附表 </w:t>
      </w:r>
      <w:r>
        <w:rPr>
          <w:b/>
          <w:sz w:val="24"/>
          <w:u w:val="single"/>
        </w:rPr>
        <w:t>11</w:t>
      </w:r>
      <w:r>
        <w:rPr>
          <w:b/>
          <w:spacing w:val="-1"/>
          <w:sz w:val="24"/>
          <w:u w:val="single"/>
        </w:rPr>
        <w:t xml:space="preserve"> 项规定的有效报价浮动范围的；</w:t>
      </w:r>
    </w:p>
    <w:p>
      <w:pPr>
        <w:pStyle w:val="18"/>
        <w:numPr>
          <w:ilvl w:val="3"/>
          <w:numId w:val="12"/>
        </w:numPr>
        <w:tabs>
          <w:tab w:val="left" w:pos="2214"/>
        </w:tabs>
        <w:spacing w:before="103" w:after="0" w:line="240" w:lineRule="auto"/>
        <w:ind w:left="2213" w:right="0" w:hanging="908"/>
        <w:jc w:val="left"/>
        <w:rPr>
          <w:b/>
          <w:sz w:val="24"/>
        </w:rPr>
      </w:pPr>
      <w:r>
        <w:rPr>
          <w:b/>
          <w:sz w:val="24"/>
          <w:u w:val="single"/>
        </w:rPr>
        <w:t>商务标中出现重大计算错误而导致评标委员会无法按要求调整的；</w:t>
      </w:r>
    </w:p>
    <w:p>
      <w:pPr>
        <w:pStyle w:val="18"/>
        <w:numPr>
          <w:ilvl w:val="3"/>
          <w:numId w:val="12"/>
        </w:numPr>
        <w:tabs>
          <w:tab w:val="left" w:pos="2214"/>
        </w:tabs>
        <w:spacing w:before="103" w:after="0" w:line="240" w:lineRule="auto"/>
        <w:ind w:left="2213" w:right="0" w:hanging="908"/>
        <w:jc w:val="left"/>
        <w:rPr>
          <w:b/>
          <w:sz w:val="24"/>
        </w:rPr>
      </w:pPr>
      <w:r>
        <w:rPr>
          <w:b/>
          <w:sz w:val="24"/>
          <w:u w:val="single"/>
        </w:rPr>
        <w:t>不按评标委员会要求澄清、说明的；</w:t>
      </w:r>
    </w:p>
    <w:p>
      <w:pPr>
        <w:pStyle w:val="18"/>
        <w:numPr>
          <w:ilvl w:val="3"/>
          <w:numId w:val="12"/>
        </w:numPr>
        <w:tabs>
          <w:tab w:val="left" w:pos="2334"/>
        </w:tabs>
        <w:spacing w:before="103" w:after="0" w:line="240" w:lineRule="auto"/>
        <w:ind w:left="2333" w:right="0" w:hanging="1028"/>
        <w:jc w:val="left"/>
        <w:rPr>
          <w:b/>
          <w:sz w:val="24"/>
        </w:rPr>
      </w:pPr>
      <w:r>
        <w:rPr>
          <w:b/>
          <w:sz w:val="24"/>
          <w:u w:val="single"/>
        </w:rPr>
        <w:t>其他实质上未响应招标文件要求的。</w:t>
      </w:r>
    </w:p>
    <w:p>
      <w:pPr>
        <w:pStyle w:val="18"/>
        <w:numPr>
          <w:ilvl w:val="2"/>
          <w:numId w:val="11"/>
        </w:numPr>
        <w:tabs>
          <w:tab w:val="left" w:pos="1972"/>
        </w:tabs>
        <w:spacing w:before="103" w:after="0" w:line="240" w:lineRule="auto"/>
        <w:ind w:left="1971" w:right="0" w:hanging="666"/>
        <w:jc w:val="left"/>
        <w:rPr>
          <w:b/>
          <w:sz w:val="24"/>
        </w:rPr>
      </w:pPr>
      <w:r>
        <w:rPr>
          <w:b/>
          <w:sz w:val="24"/>
        </w:rPr>
        <w:t>投标报价算术性修正</w:t>
      </w:r>
    </w:p>
    <w:p>
      <w:pPr>
        <w:pStyle w:val="11"/>
        <w:spacing w:before="103" w:line="319" w:lineRule="auto"/>
        <w:ind w:left="826" w:right="1111" w:firstLine="480"/>
        <w:jc w:val="both"/>
      </w:pPr>
      <w:r>
        <w:rPr>
          <w:spacing w:val="-4"/>
        </w:rPr>
        <w:t>投标报价有算术错误的，评标委员会按以下原则对投标报价进行修正，修正的价格经投标人书面确认后具有约束力。投标人不接受或不予以书面确认修正价格的，其</w:t>
      </w:r>
      <w:r>
        <w:t>投标作无效标处理。</w:t>
      </w:r>
    </w:p>
    <w:p>
      <w:pPr>
        <w:pStyle w:val="18"/>
        <w:numPr>
          <w:ilvl w:val="3"/>
          <w:numId w:val="13"/>
        </w:numPr>
        <w:tabs>
          <w:tab w:val="left" w:pos="2207"/>
        </w:tabs>
        <w:spacing w:before="2" w:after="0" w:line="240" w:lineRule="auto"/>
        <w:ind w:left="2206" w:right="0" w:hanging="901"/>
        <w:jc w:val="left"/>
        <w:rPr>
          <w:sz w:val="24"/>
        </w:rPr>
      </w:pPr>
      <w:r>
        <w:rPr>
          <w:sz w:val="24"/>
        </w:rPr>
        <w:t>投标文件中投标函的大写金额与小写金额不一致的，以大写金额为准；</w:t>
      </w:r>
    </w:p>
    <w:p>
      <w:pPr>
        <w:pStyle w:val="18"/>
        <w:numPr>
          <w:ilvl w:val="3"/>
          <w:numId w:val="13"/>
        </w:numPr>
        <w:tabs>
          <w:tab w:val="left" w:pos="2207"/>
        </w:tabs>
        <w:spacing w:before="102" w:after="0" w:line="319" w:lineRule="auto"/>
        <w:ind w:left="826" w:right="1113" w:firstLine="480"/>
        <w:jc w:val="left"/>
        <w:rPr>
          <w:sz w:val="24"/>
        </w:rPr>
      </w:pPr>
      <w:r>
        <w:rPr>
          <w:spacing w:val="-1"/>
          <w:sz w:val="24"/>
        </w:rPr>
        <w:t>商务标中投标报价计算书中投标报价与投标函中投标报价不一致时，以</w:t>
      </w:r>
      <w:r>
        <w:rPr>
          <w:sz w:val="24"/>
        </w:rPr>
        <w:t>投标函中投标报价为准修正投标报价计算书中的下浮率。</w:t>
      </w:r>
    </w:p>
    <w:p>
      <w:pPr>
        <w:pStyle w:val="18"/>
        <w:numPr>
          <w:ilvl w:val="3"/>
          <w:numId w:val="13"/>
        </w:numPr>
        <w:tabs>
          <w:tab w:val="left" w:pos="2207"/>
        </w:tabs>
        <w:spacing w:before="3" w:after="0" w:line="240" w:lineRule="auto"/>
        <w:ind w:left="2206" w:right="0" w:hanging="901"/>
        <w:jc w:val="left"/>
        <w:rPr>
          <w:sz w:val="24"/>
        </w:rPr>
      </w:pPr>
      <w:r>
        <w:rPr>
          <w:sz w:val="24"/>
        </w:rPr>
        <w:t>其余算术错误按招标人要求进行修正。</w:t>
      </w:r>
    </w:p>
    <w:p>
      <w:pPr>
        <w:pStyle w:val="10"/>
        <w:numPr>
          <w:ilvl w:val="2"/>
          <w:numId w:val="11"/>
        </w:numPr>
        <w:tabs>
          <w:tab w:val="left" w:pos="2141"/>
          <w:tab w:val="left" w:pos="2142"/>
        </w:tabs>
        <w:spacing w:before="101" w:after="0" w:line="240" w:lineRule="auto"/>
        <w:ind w:left="2141" w:right="0" w:hanging="846"/>
        <w:jc w:val="left"/>
      </w:pPr>
      <w:r>
        <w:t>细微偏差补正</w:t>
      </w:r>
    </w:p>
    <w:p>
      <w:pPr>
        <w:pStyle w:val="11"/>
        <w:spacing w:before="103" w:line="319" w:lineRule="auto"/>
        <w:ind w:left="826" w:right="1111" w:firstLine="480"/>
        <w:jc w:val="both"/>
      </w:pPr>
      <w:r>
        <w:rPr>
          <w:spacing w:val="-3"/>
        </w:rPr>
        <w:t>评标委员会仅对经算术性修正后投标报价进行细微偏差补正。评标委员会应当书面要求存在细微偏差的投标人在评标结束前予以补正。细微偏差是指投标文件在实质</w:t>
      </w:r>
      <w:r>
        <w:rPr>
          <w:spacing w:val="-5"/>
        </w:rPr>
        <w:t>上响应招标文件要求，但在个别地方存在漏项或者提供了不完整的技术信息和数据等</w:t>
      </w:r>
      <w:r>
        <w:rPr>
          <w:spacing w:val="-6"/>
        </w:rPr>
        <w:t>情况，并且补正这些遗漏或者不完整不会对其他投标人造成不公平的结果。细微偏差</w:t>
      </w:r>
      <w:r>
        <w:rPr>
          <w:spacing w:val="-4"/>
        </w:rPr>
        <w:t>不影响投标文件的有效性。按照上述规定进行补正后的投标报价经投标人的法定代表</w:t>
      </w:r>
      <w:r>
        <w:t>人（或其委托代理人）签名确认后产生约束力。</w:t>
      </w:r>
    </w:p>
    <w:p>
      <w:pPr>
        <w:pStyle w:val="10"/>
        <w:numPr>
          <w:ilvl w:val="2"/>
          <w:numId w:val="11"/>
        </w:numPr>
        <w:tabs>
          <w:tab w:val="left" w:pos="1962"/>
        </w:tabs>
        <w:spacing w:before="30" w:after="0" w:line="240" w:lineRule="auto"/>
        <w:ind w:left="1961" w:right="0" w:hanging="666"/>
        <w:jc w:val="both"/>
      </w:pPr>
      <w:r>
        <w:t>商务标分值计算：</w:t>
      </w:r>
    </w:p>
    <w:p>
      <w:pPr>
        <w:pStyle w:val="18"/>
        <w:numPr>
          <w:ilvl w:val="3"/>
          <w:numId w:val="14"/>
        </w:numPr>
        <w:tabs>
          <w:tab w:val="left" w:pos="2197"/>
        </w:tabs>
        <w:spacing w:before="134" w:after="0" w:line="240" w:lineRule="auto"/>
        <w:ind w:left="2196" w:right="0" w:hanging="901"/>
        <w:jc w:val="both"/>
        <w:rPr>
          <w:sz w:val="24"/>
        </w:rPr>
      </w:pPr>
      <w:r>
        <w:rPr>
          <w:sz w:val="24"/>
        </w:rPr>
        <w:t>有效标界定</w:t>
      </w:r>
    </w:p>
    <w:p>
      <w:pPr>
        <w:pStyle w:val="11"/>
        <w:spacing w:before="132"/>
        <w:ind w:left="1296"/>
      </w:pPr>
      <w:r>
        <w:t>经商务标评审后作为无效标处理的投标报价不再进入基准浮动率计算。</w:t>
      </w:r>
    </w:p>
    <w:p>
      <w:pPr>
        <w:spacing w:after="0"/>
        <w:sectPr>
          <w:pgSz w:w="11910" w:h="16840"/>
          <w:pgMar w:top="1580" w:right="360" w:bottom="1300" w:left="760" w:header="0" w:footer="1109" w:gutter="0"/>
        </w:sectPr>
      </w:pPr>
    </w:p>
    <w:p>
      <w:pPr>
        <w:pStyle w:val="11"/>
        <w:rPr>
          <w:sz w:val="20"/>
        </w:rPr>
      </w:pPr>
    </w:p>
    <w:p>
      <w:pPr>
        <w:pStyle w:val="11"/>
        <w:spacing w:before="9"/>
        <w:rPr>
          <w:sz w:val="22"/>
        </w:rPr>
      </w:pPr>
    </w:p>
    <w:p>
      <w:pPr>
        <w:pStyle w:val="18"/>
        <w:numPr>
          <w:ilvl w:val="3"/>
          <w:numId w:val="14"/>
        </w:numPr>
        <w:tabs>
          <w:tab w:val="left" w:pos="2197"/>
        </w:tabs>
        <w:spacing w:before="66" w:after="0" w:line="343" w:lineRule="auto"/>
        <w:ind w:left="826" w:right="1113" w:firstLine="470"/>
        <w:jc w:val="both"/>
        <w:rPr>
          <w:sz w:val="24"/>
        </w:rPr>
      </w:pPr>
      <w:r>
        <w:rPr>
          <w:spacing w:val="-1"/>
          <w:sz w:val="24"/>
        </w:rPr>
        <w:t>经上述评审后有效投标不足三个使得投标明显缺乏竞争的，评标委员会</w:t>
      </w:r>
      <w:r>
        <w:rPr>
          <w:sz w:val="24"/>
        </w:rPr>
        <w:t>可以否决全部投标。</w:t>
      </w:r>
      <w:r>
        <w:rPr>
          <w:sz w:val="24"/>
          <w:u w:val="single"/>
        </w:rPr>
        <w:t>当全部投标被否决的，招标人应当依法重新招标。</w:t>
      </w:r>
    </w:p>
    <w:p>
      <w:pPr>
        <w:pStyle w:val="18"/>
        <w:numPr>
          <w:ilvl w:val="3"/>
          <w:numId w:val="14"/>
        </w:numPr>
        <w:tabs>
          <w:tab w:val="left" w:pos="2197"/>
        </w:tabs>
        <w:spacing w:before="0" w:after="0" w:line="306" w:lineRule="exact"/>
        <w:ind w:left="2196" w:right="0" w:hanging="901"/>
        <w:jc w:val="both"/>
        <w:rPr>
          <w:sz w:val="24"/>
        </w:rPr>
      </w:pPr>
      <w:r>
        <w:rPr>
          <w:sz w:val="24"/>
        </w:rPr>
        <w:t>计算基准浮动率</w:t>
      </w:r>
    </w:p>
    <w:p>
      <w:pPr>
        <w:pStyle w:val="11"/>
        <w:spacing w:before="165"/>
        <w:ind w:left="1344"/>
        <w:jc w:val="both"/>
      </w:pPr>
      <w:r>
        <w:t>基准浮动率的确定：A%×X%+B%×(1-X%) 。</w:t>
      </w:r>
    </w:p>
    <w:p>
      <w:pPr>
        <w:pStyle w:val="11"/>
        <w:spacing w:before="132" w:line="340" w:lineRule="auto"/>
        <w:ind w:left="826" w:right="1111" w:firstLine="480"/>
        <w:jc w:val="both"/>
      </w:pPr>
      <w:r>
        <w:t>招标人随机抽取的浮动率(A%)</w:t>
      </w:r>
      <w:r>
        <w:rPr>
          <w:spacing w:val="-13"/>
        </w:rPr>
        <w:t xml:space="preserve">的确定：先由招标人从 </w:t>
      </w:r>
      <w:r>
        <w:t>80%～88%</w:t>
      </w:r>
      <w:r>
        <w:rPr>
          <w:spacing w:val="-10"/>
        </w:rPr>
        <w:t>十七个连续值</w:t>
      </w:r>
      <w:r>
        <w:rPr>
          <w:i/>
          <w:spacing w:val="-66"/>
          <w:sz w:val="25"/>
        </w:rPr>
        <w:t>（</w:t>
      </w:r>
      <w:r>
        <w:rPr>
          <w:spacing w:val="-90"/>
          <w:u w:val="single"/>
        </w:rPr>
        <w:t>每个</w:t>
      </w:r>
      <w:r>
        <w:rPr>
          <w:spacing w:val="-6"/>
          <w:u w:val="single"/>
        </w:rPr>
        <w:t xml:space="preserve">数值间隔 </w:t>
      </w:r>
      <w:r>
        <w:rPr>
          <w:u w:val="single"/>
        </w:rPr>
        <w:t>0.5%）</w:t>
      </w:r>
      <w:r>
        <w:t>中不重复随机抽取四个值并计算平均数(即每抽取一个数值后不再重新放回抽取)，该平均数作为招标人随机抽取的浮动率(A%)，并公布。</w:t>
      </w:r>
    </w:p>
    <w:p>
      <w:pPr>
        <w:pStyle w:val="11"/>
        <w:spacing w:before="33" w:line="374" w:lineRule="auto"/>
        <w:ind w:left="826" w:right="1057" w:firstLine="480"/>
      </w:pPr>
      <w:r>
        <w:t>投标人有效投标报价浮动率(B%)的确定：各投标人有效投标报价相对标底价的平均浮动率。</w:t>
      </w:r>
    </w:p>
    <w:p>
      <w:pPr>
        <w:pStyle w:val="11"/>
        <w:tabs>
          <w:tab w:val="left" w:leader="hyphen" w:pos="2187"/>
        </w:tabs>
        <w:ind w:left="1227"/>
      </w:pPr>
      <w:r>
        <w:t>X%</w:t>
      </w:r>
      <w:r>
        <w:tab/>
      </w:r>
      <w:r>
        <w:rPr>
          <w:spacing w:val="-8"/>
        </w:rPr>
        <w:t xml:space="preserve">为权数比例不定值，分别是 </w:t>
      </w:r>
      <w:r>
        <w:t>50%</w:t>
      </w:r>
      <w:r>
        <w:rPr>
          <w:spacing w:val="-20"/>
        </w:rPr>
        <w:t>、</w:t>
      </w:r>
      <w:r>
        <w:t>55％</w:t>
      </w:r>
      <w:r>
        <w:rPr>
          <w:spacing w:val="-20"/>
        </w:rPr>
        <w:t>、</w:t>
      </w:r>
      <w:r>
        <w:t>60％</w:t>
      </w:r>
      <w:r>
        <w:rPr>
          <w:spacing w:val="-20"/>
        </w:rPr>
        <w:t>、</w:t>
      </w:r>
      <w:r>
        <w:t>65％</w:t>
      </w:r>
      <w:r>
        <w:rPr>
          <w:spacing w:val="-20"/>
        </w:rPr>
        <w:t>、</w:t>
      </w:r>
      <w:r>
        <w:t>70％</w:t>
      </w:r>
      <w:r>
        <w:rPr>
          <w:spacing w:val="-20"/>
        </w:rPr>
        <w:t>、</w:t>
      </w:r>
      <w:r>
        <w:t>75％</w:t>
      </w:r>
      <w:r>
        <w:rPr>
          <w:spacing w:val="-20"/>
        </w:rPr>
        <w:t>、</w:t>
      </w:r>
      <w:r>
        <w:t>80％</w:t>
      </w:r>
    </w:p>
    <w:p>
      <w:pPr>
        <w:pStyle w:val="11"/>
        <w:spacing w:before="173"/>
        <w:ind w:left="845"/>
      </w:pPr>
      <w:r>
        <w:t>七档，开标时现场公开由招标人代表随机抽定。</w:t>
      </w:r>
    </w:p>
    <w:p>
      <w:pPr>
        <w:pStyle w:val="18"/>
        <w:numPr>
          <w:ilvl w:val="3"/>
          <w:numId w:val="14"/>
        </w:numPr>
        <w:tabs>
          <w:tab w:val="left" w:pos="2128"/>
        </w:tabs>
        <w:spacing w:before="172" w:after="0" w:line="240" w:lineRule="auto"/>
        <w:ind w:left="2127" w:right="0" w:hanging="901"/>
        <w:jc w:val="both"/>
        <w:rPr>
          <w:sz w:val="24"/>
        </w:rPr>
      </w:pPr>
      <w:r>
        <w:rPr>
          <w:sz w:val="24"/>
        </w:rPr>
        <w:t>计算报价分值</w:t>
      </w:r>
    </w:p>
    <w:p>
      <w:pPr>
        <w:pStyle w:val="11"/>
        <w:spacing w:before="173"/>
        <w:ind w:left="1306"/>
      </w:pPr>
      <w:r>
        <w:t>商务报价分的计算：投标浮动率等于基准浮动率报价分得 100 分，投标人浮动率</w:t>
      </w:r>
    </w:p>
    <w:p>
      <w:pPr>
        <w:pStyle w:val="11"/>
        <w:spacing w:before="172" w:line="374" w:lineRule="auto"/>
        <w:ind w:left="826" w:right="991"/>
      </w:pPr>
      <w:r>
        <w:t>（相对标底</w:t>
      </w:r>
      <w:r>
        <w:rPr>
          <w:spacing w:val="-77"/>
        </w:rPr>
        <w:t>）</w:t>
      </w:r>
      <w:r>
        <w:rPr>
          <w:spacing w:val="-8"/>
        </w:rPr>
        <w:t xml:space="preserve">比基准浮动率高 </w:t>
      </w:r>
      <w:r>
        <w:t>1</w:t>
      </w:r>
      <w:r>
        <w:rPr>
          <w:spacing w:val="-14"/>
        </w:rPr>
        <w:t xml:space="preserve"> 个百分点扣报价分 </w:t>
      </w:r>
      <w:r>
        <w:t>3</w:t>
      </w:r>
      <w:r>
        <w:rPr>
          <w:spacing w:val="-40"/>
        </w:rPr>
        <w:t xml:space="preserve"> 分，低 </w:t>
      </w:r>
      <w:r>
        <w:t>1</w:t>
      </w:r>
      <w:r>
        <w:rPr>
          <w:spacing w:val="-14"/>
        </w:rPr>
        <w:t xml:space="preserve"> 个百分点扣报价分 </w:t>
      </w:r>
      <w:r>
        <w:t>1</w:t>
      </w:r>
      <w:r>
        <w:rPr>
          <w:spacing w:val="-26"/>
        </w:rPr>
        <w:t xml:space="preserve"> 分， </w:t>
      </w:r>
      <w:r>
        <w:rPr>
          <w:spacing w:val="-5"/>
        </w:rPr>
        <w:t>扣完为止，中间数值按直线内插法计算；计算出各投标人的报价得分</w:t>
      </w:r>
      <w:r>
        <w:t>（计算结果保留小数点后两位，小数点后第三位“四舍五入”）。</w:t>
      </w:r>
    </w:p>
    <w:p>
      <w:pPr>
        <w:pStyle w:val="10"/>
        <w:numPr>
          <w:ilvl w:val="1"/>
          <w:numId w:val="11"/>
        </w:numPr>
        <w:tabs>
          <w:tab w:val="left" w:pos="1720"/>
        </w:tabs>
        <w:spacing w:before="0" w:after="0" w:line="277" w:lineRule="exact"/>
        <w:ind w:left="1719" w:right="0" w:hanging="424"/>
        <w:jc w:val="both"/>
      </w:pPr>
      <w:r>
        <w:t>推荐中标候选人</w:t>
      </w:r>
    </w:p>
    <w:p>
      <w:pPr>
        <w:pStyle w:val="18"/>
        <w:numPr>
          <w:ilvl w:val="2"/>
          <w:numId w:val="11"/>
        </w:numPr>
        <w:tabs>
          <w:tab w:val="left" w:pos="1967"/>
        </w:tabs>
        <w:spacing w:before="132" w:after="0" w:line="343" w:lineRule="auto"/>
        <w:ind w:left="826" w:right="1111" w:firstLine="480"/>
        <w:jc w:val="both"/>
        <w:rPr>
          <w:sz w:val="24"/>
        </w:rPr>
      </w:pPr>
      <w:r>
        <w:rPr>
          <w:spacing w:val="-1"/>
          <w:sz w:val="24"/>
        </w:rPr>
        <w:t>评标委员会完成所有评审后对各投标文件的评审结果进行汇总，按照总得</w:t>
      </w:r>
      <w:r>
        <w:rPr>
          <w:spacing w:val="-2"/>
          <w:sz w:val="24"/>
        </w:rPr>
        <w:t>分由高到低排序</w:t>
      </w:r>
      <w:r>
        <w:rPr>
          <w:sz w:val="24"/>
        </w:rPr>
        <w:t>（</w:t>
      </w:r>
      <w:r>
        <w:rPr>
          <w:spacing w:val="-6"/>
          <w:sz w:val="24"/>
        </w:rPr>
        <w:t>如遇得分相同，则报价低排列在前；如遇得分、报价均相同，由招</w:t>
      </w:r>
      <w:r>
        <w:rPr>
          <w:sz w:val="24"/>
        </w:rPr>
        <w:t>标人抽签确定排序），并推荐排序前二名投标人为第一、二中标候选人。</w:t>
      </w:r>
    </w:p>
    <w:p>
      <w:pPr>
        <w:pStyle w:val="18"/>
        <w:numPr>
          <w:ilvl w:val="2"/>
          <w:numId w:val="11"/>
        </w:numPr>
        <w:tabs>
          <w:tab w:val="left" w:pos="1967"/>
        </w:tabs>
        <w:spacing w:before="1" w:after="0" w:line="343" w:lineRule="auto"/>
        <w:ind w:left="826" w:right="1111" w:firstLine="480"/>
        <w:jc w:val="both"/>
        <w:rPr>
          <w:sz w:val="24"/>
        </w:rPr>
      </w:pPr>
      <w:r>
        <w:rPr>
          <w:spacing w:val="-1"/>
          <w:sz w:val="24"/>
        </w:rPr>
        <w:t>招标人确定排名第一的中标候选人为中标人。排名第一的中标候选人放弃</w:t>
      </w:r>
      <w:r>
        <w:rPr>
          <w:spacing w:val="-6"/>
          <w:sz w:val="24"/>
        </w:rPr>
        <w:t>中标，因不可抗力提出不能履行合同，不按照招标文件要求提交履约保证金，或者被</w:t>
      </w:r>
      <w:r>
        <w:rPr>
          <w:spacing w:val="-3"/>
          <w:sz w:val="24"/>
        </w:rPr>
        <w:t>查实存在影响中标结果的违法行为等情形，不符合中标条件的，招标人可以按照评标委员会提出的中标候选人名单排序依次确定其他中标候选人为中标人，也可以重新招</w:t>
      </w:r>
      <w:r>
        <w:rPr>
          <w:sz w:val="24"/>
        </w:rPr>
        <w:t>标。</w:t>
      </w:r>
    </w:p>
    <w:p>
      <w:pPr>
        <w:pStyle w:val="11"/>
        <w:spacing w:before="2" w:line="343" w:lineRule="auto"/>
        <w:ind w:left="826" w:right="1111" w:firstLine="480"/>
        <w:jc w:val="both"/>
      </w:pPr>
      <w:r>
        <w:rPr>
          <w:spacing w:val="-3"/>
        </w:rPr>
        <w:t>中标候选人因不可抗力之外的原因放弃中标权的，必须按招标文件的规定没收其</w:t>
      </w:r>
      <w:r>
        <w:rPr>
          <w:spacing w:val="-7"/>
        </w:rPr>
        <w:t>投标保证金。没收的投标保证金不能弥补由于其放弃中标权而给招标人造成报价的差</w:t>
      </w:r>
      <w:r>
        <w:rPr>
          <w:spacing w:val="-5"/>
        </w:rPr>
        <w:t>额损失的，由放弃中标权的中标候选人承担。</w:t>
      </w:r>
      <w:r>
        <w:rPr>
          <w:spacing w:val="-1"/>
          <w:u w:val="single"/>
        </w:rPr>
        <w:t>所有中标候选人放弃中标权或被取消中</w:t>
      </w:r>
    </w:p>
    <w:p>
      <w:pPr>
        <w:spacing w:after="0" w:line="343" w:lineRule="auto"/>
        <w:jc w:val="both"/>
        <w:sectPr>
          <w:pgSz w:w="11910" w:h="16840"/>
          <w:pgMar w:top="1580" w:right="360" w:bottom="1300" w:left="760" w:header="0" w:footer="1109" w:gutter="0"/>
        </w:sectPr>
      </w:pPr>
    </w:p>
    <w:p>
      <w:pPr>
        <w:pStyle w:val="11"/>
        <w:rPr>
          <w:sz w:val="20"/>
        </w:rPr>
      </w:pPr>
    </w:p>
    <w:p>
      <w:pPr>
        <w:pStyle w:val="11"/>
        <w:spacing w:before="9"/>
        <w:rPr>
          <w:sz w:val="22"/>
        </w:rPr>
      </w:pPr>
    </w:p>
    <w:p>
      <w:pPr>
        <w:pStyle w:val="11"/>
        <w:spacing w:before="66"/>
        <w:ind w:left="826"/>
      </w:pPr>
      <w:r>
        <w:rPr>
          <w:u w:val="single"/>
        </w:rPr>
        <w:t>标资格的，招标人应当重新依法组织招标。</w:t>
      </w:r>
    </w:p>
    <w:p>
      <w:pPr>
        <w:pStyle w:val="18"/>
        <w:numPr>
          <w:ilvl w:val="2"/>
          <w:numId w:val="11"/>
        </w:numPr>
        <w:tabs>
          <w:tab w:val="left" w:pos="1967"/>
        </w:tabs>
        <w:spacing w:before="132" w:after="0" w:line="343" w:lineRule="auto"/>
        <w:ind w:left="826" w:right="1111" w:firstLine="480"/>
        <w:jc w:val="left"/>
        <w:rPr>
          <w:sz w:val="24"/>
        </w:rPr>
      </w:pPr>
      <w:r>
        <w:rPr>
          <w:spacing w:val="-1"/>
          <w:sz w:val="24"/>
        </w:rPr>
        <w:t>评标委员会经评审，认为所有投标都不符合招标文件要求的，可以否决所</w:t>
      </w:r>
      <w:r>
        <w:rPr>
          <w:sz w:val="24"/>
        </w:rPr>
        <w:t>有投标。所有投标被否决后，招标人应当依法重新招标。</w:t>
      </w:r>
    </w:p>
    <w:p>
      <w:pPr>
        <w:pStyle w:val="8"/>
        <w:tabs>
          <w:tab w:val="left" w:pos="4779"/>
        </w:tabs>
        <w:spacing w:before="0" w:line="306" w:lineRule="exact"/>
        <w:ind w:left="3656"/>
      </w:pPr>
      <w:r>
        <w:t>第四章</w:t>
      </w:r>
      <w:r>
        <w:tab/>
      </w:r>
      <w:r>
        <w:t>合同条款及格式</w:t>
      </w:r>
    </w:p>
    <w:p>
      <w:pPr>
        <w:pStyle w:val="11"/>
        <w:rPr>
          <w:b/>
          <w:sz w:val="28"/>
        </w:rPr>
      </w:pPr>
    </w:p>
    <w:p>
      <w:pPr>
        <w:pStyle w:val="11"/>
        <w:rPr>
          <w:b/>
          <w:sz w:val="22"/>
        </w:rPr>
      </w:pPr>
    </w:p>
    <w:p>
      <w:pPr>
        <w:pStyle w:val="11"/>
        <w:spacing w:line="487" w:lineRule="auto"/>
        <w:ind w:left="826" w:right="1111" w:firstLine="480"/>
      </w:pPr>
      <w:r>
        <w:rPr>
          <w:spacing w:val="-1"/>
        </w:rPr>
        <w:t>合同条件采用建设工程监理合同示范文本</w:t>
      </w:r>
      <w:r>
        <w:t>（GF-2000-0202）</w:t>
      </w:r>
      <w:r>
        <w:rPr>
          <w:spacing w:val="-5"/>
        </w:rPr>
        <w:t>的《建设工程委托监</w:t>
      </w:r>
      <w:r>
        <w:t>理合同》。</w:t>
      </w:r>
    </w:p>
    <w:p>
      <w:pPr>
        <w:pStyle w:val="11"/>
        <w:spacing w:line="487" w:lineRule="auto"/>
        <w:ind w:left="826" w:right="1111" w:firstLine="480"/>
      </w:pPr>
      <w:r>
        <w:rPr>
          <w:spacing w:val="-3"/>
        </w:rPr>
        <w:t>合同协议条款将由招标人与中标单位根据招标文件和投标文件，结合本工程具体</w:t>
      </w:r>
      <w:r>
        <w:t>情况签订。</w:t>
      </w:r>
    </w:p>
    <w:p>
      <w:pPr>
        <w:spacing w:after="0" w:line="487" w:lineRule="auto"/>
        <w:sectPr>
          <w:pgSz w:w="11910" w:h="16840"/>
          <w:pgMar w:top="1580" w:right="360" w:bottom="1300" w:left="760" w:header="0" w:footer="1109" w:gutter="0"/>
        </w:sectPr>
      </w:pPr>
    </w:p>
    <w:p>
      <w:pPr>
        <w:pStyle w:val="11"/>
        <w:rPr>
          <w:sz w:val="20"/>
        </w:rPr>
      </w:pPr>
    </w:p>
    <w:p>
      <w:pPr>
        <w:pStyle w:val="11"/>
        <w:spacing w:before="11"/>
        <w:rPr>
          <w:sz w:val="23"/>
        </w:rPr>
      </w:pPr>
    </w:p>
    <w:p>
      <w:pPr>
        <w:tabs>
          <w:tab w:val="left" w:pos="4495"/>
        </w:tabs>
        <w:spacing w:before="58"/>
        <w:ind w:left="2991" w:right="0" w:firstLine="0"/>
        <w:jc w:val="left"/>
        <w:rPr>
          <w:b/>
          <w:sz w:val="30"/>
        </w:rPr>
      </w:pPr>
      <w:r>
        <w:rPr>
          <w:b/>
          <w:sz w:val="30"/>
        </w:rPr>
        <w:t>第一部分</w:t>
      </w:r>
      <w:r>
        <w:rPr>
          <w:b/>
          <w:sz w:val="30"/>
        </w:rPr>
        <w:tab/>
      </w:r>
      <w:r>
        <w:rPr>
          <w:b/>
          <w:sz w:val="30"/>
        </w:rPr>
        <w:t>建设工程委托监理合同</w:t>
      </w:r>
    </w:p>
    <w:p>
      <w:pPr>
        <w:pStyle w:val="11"/>
        <w:tabs>
          <w:tab w:val="left" w:pos="4577"/>
          <w:tab w:val="left" w:pos="8203"/>
        </w:tabs>
        <w:spacing w:before="185" w:line="295" w:lineRule="auto"/>
        <w:ind w:left="826" w:right="1113" w:firstLine="489"/>
      </w:pPr>
      <w:r>
        <w:rPr>
          <w:spacing w:val="4"/>
        </w:rPr>
        <w:t>委托</w:t>
      </w:r>
      <w:r>
        <w:rPr>
          <w:spacing w:val="7"/>
        </w:rPr>
        <w:t>人</w:t>
      </w:r>
      <w:r>
        <w:rPr>
          <w:spacing w:val="7"/>
          <w:u w:val="single"/>
        </w:rPr>
        <w:t xml:space="preserve"> </w:t>
      </w:r>
      <w:r>
        <w:rPr>
          <w:spacing w:val="7"/>
          <w:u w:val="single"/>
        </w:rPr>
        <w:tab/>
      </w:r>
      <w:r>
        <w:rPr>
          <w:spacing w:val="4"/>
        </w:rPr>
        <w:t>与监</w:t>
      </w:r>
      <w:r>
        <w:rPr>
          <w:spacing w:val="7"/>
        </w:rPr>
        <w:t>理</w:t>
      </w:r>
      <w:r>
        <w:rPr>
          <w:spacing w:val="4"/>
        </w:rPr>
        <w:t>人</w:t>
      </w:r>
      <w:r>
        <w:rPr>
          <w:spacing w:val="4"/>
          <w:u w:val="single"/>
        </w:rPr>
        <w:t xml:space="preserve"> </w:t>
      </w:r>
      <w:r>
        <w:rPr>
          <w:spacing w:val="4"/>
          <w:u w:val="single"/>
        </w:rPr>
        <w:tab/>
      </w:r>
      <w:r>
        <w:rPr>
          <w:spacing w:val="4"/>
        </w:rPr>
        <w:t>经双</w:t>
      </w:r>
      <w:r>
        <w:rPr>
          <w:spacing w:val="7"/>
        </w:rPr>
        <w:t>方</w:t>
      </w:r>
      <w:r>
        <w:rPr>
          <w:spacing w:val="4"/>
        </w:rPr>
        <w:t>协商</w:t>
      </w:r>
      <w:r>
        <w:rPr>
          <w:spacing w:val="-13"/>
        </w:rPr>
        <w:t>一</w:t>
      </w:r>
      <w:r>
        <w:t>致，签订本合同。</w:t>
      </w:r>
    </w:p>
    <w:p>
      <w:pPr>
        <w:pStyle w:val="11"/>
        <w:tabs>
          <w:tab w:val="left" w:pos="7846"/>
        </w:tabs>
        <w:spacing w:before="2" w:line="297" w:lineRule="auto"/>
        <w:ind w:left="1306" w:right="2037"/>
        <w:rPr>
          <w:rFonts w:ascii="Times New Roman" w:hAnsi="Times New Roman" w:eastAsia="Times New Roman"/>
        </w:rPr>
      </w:pPr>
      <w:r>
        <w:t>一、委托人委托监理人监理的工程（以下简称“本工程”）概况如下</w:t>
      </w:r>
      <w:r>
        <w:rPr>
          <w:spacing w:val="-17"/>
        </w:rPr>
        <w:t xml:space="preserve">： </w:t>
      </w:r>
      <w:r>
        <w:t>工程名称：</w:t>
      </w:r>
      <w:r>
        <w:rPr>
          <w:rFonts w:ascii="Times New Roman" w:hAnsi="Times New Roman" w:eastAsia="Times New Roman"/>
          <w:u w:val="single"/>
        </w:rPr>
        <w:t xml:space="preserve"> </w:t>
      </w:r>
      <w:r>
        <w:rPr>
          <w:rFonts w:ascii="Times New Roman" w:hAnsi="Times New Roman" w:eastAsia="Times New Roman"/>
          <w:u w:val="single"/>
        </w:rPr>
        <w:tab/>
      </w:r>
    </w:p>
    <w:p>
      <w:pPr>
        <w:pStyle w:val="11"/>
        <w:tabs>
          <w:tab w:val="left" w:pos="6435"/>
          <w:tab w:val="left" w:pos="7846"/>
        </w:tabs>
        <w:spacing w:line="297" w:lineRule="auto"/>
        <w:ind w:left="1306" w:right="2872"/>
        <w:jc w:val="both"/>
      </w:pPr>
      <w:r>
        <w:t>工程地点：</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工程规模：</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合同价款</w:t>
      </w:r>
      <w:r>
        <w:rPr>
          <w:sz w:val="21"/>
        </w:rPr>
        <w:t>：</w:t>
      </w:r>
      <w:r>
        <w:rPr>
          <w:u w:val="single"/>
        </w:rPr>
        <w:t>金额（大写）：</w:t>
      </w:r>
      <w:r>
        <w:rPr>
          <w:u w:val="single"/>
        </w:rPr>
        <w:tab/>
      </w:r>
      <w:r>
        <w:rPr>
          <w:u w:val="single"/>
        </w:rPr>
        <w:t>元（人民币）</w:t>
      </w:r>
    </w:p>
    <w:p>
      <w:pPr>
        <w:pStyle w:val="11"/>
        <w:tabs>
          <w:tab w:val="left" w:pos="4390"/>
        </w:tabs>
        <w:spacing w:line="304" w:lineRule="exact"/>
        <w:ind w:left="2470"/>
        <w:jc w:val="both"/>
      </w:pPr>
      <w:r>
        <w:rPr>
          <w:u w:val="single"/>
        </w:rPr>
        <w:t>￥：</w:t>
      </w:r>
      <w:r>
        <w:rPr>
          <w:u w:val="single"/>
        </w:rPr>
        <w:tab/>
      </w:r>
      <w:r>
        <w:rPr>
          <w:u w:val="single"/>
        </w:rPr>
        <w:t>元</w:t>
      </w:r>
    </w:p>
    <w:p>
      <w:pPr>
        <w:pStyle w:val="11"/>
        <w:spacing w:before="70" w:line="297" w:lineRule="auto"/>
        <w:ind w:left="826" w:right="1069" w:firstLine="480"/>
      </w:pPr>
      <w:r>
        <w:t>二、合同中有的有关词语含义与本合同第二部分《标准条件》中赋予它们的定义相同。</w:t>
      </w:r>
    </w:p>
    <w:p>
      <w:pPr>
        <w:pStyle w:val="11"/>
        <w:spacing w:line="306" w:lineRule="exact"/>
        <w:ind w:left="1306"/>
      </w:pPr>
      <w:r>
        <w:t>三、下列文件均为本合同的组成部分：</w:t>
      </w:r>
    </w:p>
    <w:p>
      <w:pPr>
        <w:pStyle w:val="11"/>
        <w:spacing w:before="71"/>
        <w:ind w:left="1306"/>
      </w:pPr>
      <w:r>
        <w:t>①投标文件、中标通知书；</w:t>
      </w:r>
    </w:p>
    <w:p>
      <w:pPr>
        <w:pStyle w:val="11"/>
        <w:spacing w:before="74"/>
        <w:ind w:left="1306"/>
      </w:pPr>
      <w:r>
        <w:t>②本合同标准条件；</w:t>
      </w:r>
    </w:p>
    <w:p>
      <w:pPr>
        <w:pStyle w:val="11"/>
        <w:spacing w:before="72"/>
        <w:ind w:left="1306"/>
      </w:pPr>
      <w:r>
        <w:t>③本合同专用条件；</w:t>
      </w:r>
    </w:p>
    <w:p>
      <w:pPr>
        <w:pStyle w:val="11"/>
        <w:spacing w:before="72"/>
        <w:ind w:left="1306"/>
      </w:pPr>
      <w:r>
        <w:t>④在实施过程中双方共同签署的补充与修正文件。</w:t>
      </w:r>
    </w:p>
    <w:p>
      <w:pPr>
        <w:pStyle w:val="11"/>
        <w:spacing w:before="74" w:line="295" w:lineRule="auto"/>
        <w:ind w:left="826" w:right="1069" w:firstLine="480"/>
      </w:pPr>
      <w:r>
        <w:t>四、监理人向委托人承诺，按照本合同的规定，承担本合同专用条件中议定范围内的监理业务。</w:t>
      </w:r>
    </w:p>
    <w:p>
      <w:pPr>
        <w:pStyle w:val="11"/>
        <w:spacing w:before="2" w:line="297" w:lineRule="auto"/>
        <w:ind w:left="826" w:right="1111" w:firstLine="480"/>
      </w:pPr>
      <w:r>
        <w:rPr>
          <w:spacing w:val="-7"/>
        </w:rPr>
        <w:t>五、委托人向监理人承诺按照本合同注明的期限、方式、币种，向监理人支付报</w:t>
      </w:r>
      <w:r>
        <w:t>酬。</w:t>
      </w:r>
    </w:p>
    <w:p>
      <w:pPr>
        <w:pStyle w:val="11"/>
        <w:spacing w:line="295" w:lineRule="auto"/>
        <w:ind w:left="826" w:right="1113" w:firstLine="480"/>
      </w:pPr>
      <w:r>
        <w:rPr>
          <w:spacing w:val="3"/>
          <w:u w:val="single"/>
        </w:rPr>
        <w:t>本工程的监理期限为本监理合同生效之日起至承接范围内所有工程竣工验收合</w:t>
      </w:r>
      <w:r>
        <w:rPr>
          <w:spacing w:val="-240"/>
          <w:u w:val="single"/>
        </w:rPr>
        <w:t>格</w:t>
      </w:r>
      <w:r>
        <w:rPr>
          <w:u w:val="single"/>
        </w:rPr>
        <w:t>后及保修期结束。</w:t>
      </w:r>
    </w:p>
    <w:p>
      <w:pPr>
        <w:pStyle w:val="11"/>
      </w:pPr>
    </w:p>
    <w:p>
      <w:pPr>
        <w:pStyle w:val="11"/>
        <w:tabs>
          <w:tab w:val="left" w:pos="3225"/>
          <w:tab w:val="left" w:pos="7545"/>
        </w:tabs>
        <w:spacing w:before="74"/>
        <w:ind w:left="1306"/>
      </w:pPr>
      <w:r>
        <w:t>本合同一式</w:t>
      </w:r>
      <w:r>
        <w:rPr>
          <w:spacing w:val="119"/>
          <w:u w:val="single"/>
        </w:rPr>
        <w:t xml:space="preserve"> </w:t>
      </w:r>
      <w:r>
        <w:rPr>
          <w:u w:val="single"/>
        </w:rPr>
        <w:t>捌</w:t>
      </w:r>
      <w:r>
        <w:rPr>
          <w:u w:val="single"/>
        </w:rPr>
        <w:tab/>
      </w:r>
      <w:r>
        <w:t>份，具有同等法律效力，双方各执</w:t>
      </w:r>
      <w:r>
        <w:rPr>
          <w:spacing w:val="119"/>
          <w:u w:val="single"/>
        </w:rPr>
        <w:t xml:space="preserve"> </w:t>
      </w:r>
      <w:r>
        <w:rPr>
          <w:u w:val="single"/>
        </w:rPr>
        <w:t>叁</w:t>
      </w:r>
      <w:r>
        <w:rPr>
          <w:u w:val="single"/>
        </w:rPr>
        <w:tab/>
      </w:r>
      <w:r>
        <w:t>份。</w:t>
      </w:r>
    </w:p>
    <w:p>
      <w:pPr>
        <w:pStyle w:val="11"/>
        <w:spacing w:before="8"/>
        <w:rPr>
          <w:sz w:val="29"/>
        </w:rPr>
      </w:pPr>
    </w:p>
    <w:p>
      <w:pPr>
        <w:spacing w:after="0"/>
        <w:rPr>
          <w:sz w:val="29"/>
        </w:rPr>
        <w:sectPr>
          <w:pgSz w:w="11910" w:h="16840"/>
          <w:pgMar w:top="1580" w:right="360" w:bottom="1300" w:left="760" w:header="0" w:footer="1109" w:gutter="0"/>
        </w:sectPr>
      </w:pPr>
    </w:p>
    <w:p>
      <w:pPr>
        <w:pStyle w:val="11"/>
        <w:tabs>
          <w:tab w:val="left" w:pos="4726"/>
        </w:tabs>
        <w:spacing w:before="74" w:line="295" w:lineRule="auto"/>
        <w:ind w:left="1306"/>
        <w:jc w:val="both"/>
        <w:rPr>
          <w:rFonts w:ascii="Times New Roman" w:eastAsia="Times New Roman"/>
        </w:rPr>
      </w:pPr>
      <w:r>
        <w:t>委托人：（公章）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法定代表人：（签章）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委托代理人：（签章）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开户银行：</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账号：</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电话：</w:t>
      </w:r>
      <w:r>
        <w:rPr>
          <w:rFonts w:ascii="Times New Roman" w:eastAsia="Times New Roman"/>
          <w:u w:val="single"/>
        </w:rPr>
        <w:t xml:space="preserve"> </w:t>
      </w:r>
      <w:r>
        <w:rPr>
          <w:rFonts w:ascii="Times New Roman" w:eastAsia="Times New Roman"/>
          <w:u w:val="single"/>
        </w:rPr>
        <w:tab/>
      </w:r>
    </w:p>
    <w:p>
      <w:pPr>
        <w:pStyle w:val="11"/>
        <w:tabs>
          <w:tab w:val="left" w:pos="3799"/>
        </w:tabs>
        <w:spacing w:before="74" w:line="295" w:lineRule="auto"/>
        <w:ind w:left="380" w:right="2217"/>
        <w:jc w:val="both"/>
        <w:rPr>
          <w:rFonts w:ascii="Times New Roman" w:eastAsia="Times New Roman"/>
        </w:rPr>
      </w:pPr>
      <w:r>
        <w:br w:type="column"/>
      </w:r>
      <w:r>
        <w:t>监理人：（公章）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法定代表人：（签章）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委托代理人：（签章）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开户银行：</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账号：</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电话：</w:t>
      </w:r>
      <w:r>
        <w:rPr>
          <w:rFonts w:ascii="Times New Roman" w:eastAsia="Times New Roman"/>
          <w:u w:val="single"/>
        </w:rPr>
        <w:t xml:space="preserve"> </w:t>
      </w:r>
      <w:r>
        <w:rPr>
          <w:rFonts w:ascii="Times New Roman" w:eastAsia="Times New Roman"/>
          <w:u w:val="single"/>
        </w:rPr>
        <w:tab/>
      </w:r>
    </w:p>
    <w:p>
      <w:pPr>
        <w:pStyle w:val="11"/>
        <w:tabs>
          <w:tab w:val="left" w:pos="3226"/>
          <w:tab w:val="left" w:pos="3946"/>
          <w:tab w:val="left" w:pos="4666"/>
        </w:tabs>
        <w:spacing w:before="11"/>
        <w:ind w:left="586"/>
      </w:pPr>
      <w:r>
        <w:t>本合同签订于：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type w:val="continuous"/>
          <w:pgSz w:w="11910" w:h="16840"/>
          <w:pgMar w:top="1580" w:right="360" w:bottom="1220" w:left="760" w:header="720" w:footer="720" w:gutter="0"/>
          <w:cols w:equalWidth="0" w:num="2">
            <w:col w:w="4727" w:space="40"/>
            <w:col w:w="6023"/>
          </w:cols>
        </w:sectPr>
      </w:pPr>
    </w:p>
    <w:p>
      <w:pPr>
        <w:pStyle w:val="11"/>
        <w:rPr>
          <w:sz w:val="20"/>
        </w:rPr>
      </w:pPr>
    </w:p>
    <w:p>
      <w:pPr>
        <w:pStyle w:val="11"/>
        <w:rPr>
          <w:sz w:val="16"/>
        </w:rPr>
      </w:pPr>
    </w:p>
    <w:p>
      <w:pPr>
        <w:pStyle w:val="7"/>
        <w:tabs>
          <w:tab w:val="left" w:pos="1504"/>
        </w:tabs>
      </w:pPr>
      <w:r>
        <w:t>第二部分</w:t>
      </w:r>
      <w:r>
        <w:tab/>
      </w:r>
      <w:r>
        <w:t>标准条件</w:t>
      </w:r>
    </w:p>
    <w:p>
      <w:pPr>
        <w:pStyle w:val="11"/>
        <w:spacing w:before="77"/>
        <w:ind w:left="1306"/>
      </w:pPr>
      <w:r>
        <w:t>词语定义、适用范围和法规</w:t>
      </w:r>
    </w:p>
    <w:p>
      <w:pPr>
        <w:pStyle w:val="11"/>
        <w:tabs>
          <w:tab w:val="left" w:pos="2266"/>
        </w:tabs>
        <w:spacing w:before="93"/>
        <w:ind w:left="1306"/>
      </w:pPr>
      <w:r>
        <w:t>第一条</w:t>
      </w:r>
      <w:r>
        <w:tab/>
      </w:r>
      <w:r>
        <w:t>下列名词和用语，除上下文另有规定外，有如下含义：</w:t>
      </w:r>
    </w:p>
    <w:p>
      <w:pPr>
        <w:pStyle w:val="18"/>
        <w:numPr>
          <w:ilvl w:val="0"/>
          <w:numId w:val="15"/>
        </w:numPr>
        <w:tabs>
          <w:tab w:val="left" w:pos="1908"/>
        </w:tabs>
        <w:spacing w:before="91" w:after="0" w:line="240" w:lineRule="auto"/>
        <w:ind w:left="1907" w:right="0" w:hanging="602"/>
        <w:jc w:val="left"/>
        <w:rPr>
          <w:sz w:val="24"/>
        </w:rPr>
      </w:pPr>
      <w:r>
        <w:rPr>
          <w:sz w:val="24"/>
        </w:rPr>
        <w:t>“工程”是指委托人委托实施监理的工程。</w:t>
      </w:r>
    </w:p>
    <w:p>
      <w:pPr>
        <w:pStyle w:val="18"/>
        <w:numPr>
          <w:ilvl w:val="0"/>
          <w:numId w:val="15"/>
        </w:numPr>
        <w:tabs>
          <w:tab w:val="left" w:pos="1919"/>
        </w:tabs>
        <w:spacing w:before="93" w:after="0" w:line="240" w:lineRule="auto"/>
        <w:ind w:left="1918" w:right="0" w:hanging="608"/>
        <w:jc w:val="left"/>
        <w:rPr>
          <w:sz w:val="24"/>
        </w:rPr>
      </w:pPr>
      <w:r>
        <w:rPr>
          <w:sz w:val="24"/>
        </w:rPr>
        <w:t>“委托人”是指承担直接投资责任和委托监理业务的一方以及其合法继承</w:t>
      </w:r>
    </w:p>
    <w:p>
      <w:pPr>
        <w:pStyle w:val="11"/>
        <w:spacing w:before="93"/>
        <w:ind w:left="826"/>
      </w:pPr>
      <w:r>
        <w:t>人。</w:t>
      </w:r>
    </w:p>
    <w:p>
      <w:pPr>
        <w:pStyle w:val="18"/>
        <w:numPr>
          <w:ilvl w:val="0"/>
          <w:numId w:val="15"/>
        </w:numPr>
        <w:tabs>
          <w:tab w:val="left" w:pos="1908"/>
        </w:tabs>
        <w:spacing w:before="91" w:after="0" w:line="240" w:lineRule="auto"/>
        <w:ind w:left="1907" w:right="0" w:hanging="602"/>
        <w:jc w:val="left"/>
        <w:rPr>
          <w:sz w:val="24"/>
        </w:rPr>
      </w:pPr>
      <w:r>
        <w:rPr>
          <w:sz w:val="24"/>
        </w:rPr>
        <w:t>“监理人”是指承担监理业务和监理责任的一方，以及其合法继承人。</w:t>
      </w:r>
    </w:p>
    <w:p>
      <w:pPr>
        <w:pStyle w:val="18"/>
        <w:numPr>
          <w:ilvl w:val="0"/>
          <w:numId w:val="15"/>
        </w:numPr>
        <w:tabs>
          <w:tab w:val="left" w:pos="1908"/>
        </w:tabs>
        <w:spacing w:before="94" w:after="0" w:line="240" w:lineRule="auto"/>
        <w:ind w:left="1907" w:right="0" w:hanging="602"/>
        <w:jc w:val="left"/>
        <w:rPr>
          <w:sz w:val="24"/>
        </w:rPr>
      </w:pPr>
      <w:r>
        <w:rPr>
          <w:sz w:val="24"/>
        </w:rPr>
        <w:t>“监理机构”是指监理人派驻本工程现场实施监理业务的组织。</w:t>
      </w:r>
    </w:p>
    <w:p>
      <w:pPr>
        <w:pStyle w:val="18"/>
        <w:numPr>
          <w:ilvl w:val="0"/>
          <w:numId w:val="15"/>
        </w:numPr>
        <w:tabs>
          <w:tab w:val="left" w:pos="1919"/>
        </w:tabs>
        <w:spacing w:before="93" w:after="0" w:line="312" w:lineRule="auto"/>
        <w:ind w:left="826" w:right="1111" w:firstLine="484"/>
        <w:jc w:val="left"/>
        <w:rPr>
          <w:sz w:val="24"/>
        </w:rPr>
      </w:pPr>
      <w:r>
        <w:rPr>
          <w:sz w:val="24"/>
        </w:rPr>
        <w:t>“总监理工程师”是指经委托人同意，监理人派到监理机构全面履行本合同的全权负责人。</w:t>
      </w:r>
    </w:p>
    <w:p>
      <w:pPr>
        <w:pStyle w:val="18"/>
        <w:numPr>
          <w:ilvl w:val="0"/>
          <w:numId w:val="15"/>
        </w:numPr>
        <w:tabs>
          <w:tab w:val="left" w:pos="1919"/>
        </w:tabs>
        <w:spacing w:before="0" w:after="0" w:line="312" w:lineRule="auto"/>
        <w:ind w:left="826" w:right="1111" w:firstLine="484"/>
        <w:jc w:val="left"/>
        <w:rPr>
          <w:sz w:val="24"/>
        </w:rPr>
      </w:pPr>
      <w:r>
        <w:rPr>
          <w:sz w:val="24"/>
        </w:rPr>
        <w:t>“承包人”是指除监理人以外，委托人就工程建设有关事宜签订合同的当事人。</w:t>
      </w:r>
    </w:p>
    <w:p>
      <w:pPr>
        <w:pStyle w:val="18"/>
        <w:numPr>
          <w:ilvl w:val="0"/>
          <w:numId w:val="15"/>
        </w:numPr>
        <w:tabs>
          <w:tab w:val="left" w:pos="1919"/>
        </w:tabs>
        <w:spacing w:before="0" w:after="0" w:line="312" w:lineRule="auto"/>
        <w:ind w:left="826" w:right="1111" w:firstLine="484"/>
        <w:jc w:val="left"/>
        <w:rPr>
          <w:sz w:val="24"/>
        </w:rPr>
      </w:pPr>
      <w:r>
        <w:rPr>
          <w:sz w:val="24"/>
        </w:rPr>
        <w:t>“工程监理的正常工作”是指双方在专用条件中约定，委托人委托的监理工作范围和内容。</w:t>
      </w:r>
    </w:p>
    <w:p>
      <w:pPr>
        <w:pStyle w:val="18"/>
        <w:numPr>
          <w:ilvl w:val="0"/>
          <w:numId w:val="15"/>
        </w:numPr>
        <w:tabs>
          <w:tab w:val="left" w:pos="1919"/>
        </w:tabs>
        <w:spacing w:before="1" w:after="0" w:line="312" w:lineRule="auto"/>
        <w:ind w:left="826" w:right="1111" w:firstLine="484"/>
        <w:jc w:val="both"/>
        <w:rPr>
          <w:sz w:val="24"/>
        </w:rPr>
      </w:pPr>
      <w:r>
        <w:rPr>
          <w:sz w:val="24"/>
        </w:rPr>
        <w:t>“工程监理的附加工作”是指：①委托人委托监理范围以外，通过双方书</w:t>
      </w:r>
      <w:r>
        <w:rPr>
          <w:spacing w:val="-4"/>
          <w:sz w:val="24"/>
        </w:rPr>
        <w:t>面协议另外增加的工作内容；②由于委托人或承包人原因，使监理工作受到阻碍或延</w:t>
      </w:r>
      <w:r>
        <w:rPr>
          <w:sz w:val="24"/>
        </w:rPr>
        <w:t>误，因增加工作量或持续时间而增加的工作。</w:t>
      </w:r>
    </w:p>
    <w:p>
      <w:pPr>
        <w:pStyle w:val="18"/>
        <w:numPr>
          <w:ilvl w:val="0"/>
          <w:numId w:val="15"/>
        </w:numPr>
        <w:tabs>
          <w:tab w:val="left" w:pos="1919"/>
        </w:tabs>
        <w:spacing w:before="1" w:after="0" w:line="312" w:lineRule="auto"/>
        <w:ind w:left="826" w:right="1111" w:firstLine="484"/>
        <w:jc w:val="left"/>
        <w:rPr>
          <w:sz w:val="24"/>
        </w:rPr>
      </w:pPr>
      <w:r>
        <w:rPr>
          <w:sz w:val="24"/>
        </w:rPr>
        <w:t>“工程监理的额外工作”是指正常工作和附加工作以外或非监理人自己的原因而暂停或终止监理业务，其善后工作及恢复监理业务的工作。</w:t>
      </w:r>
    </w:p>
    <w:p>
      <w:pPr>
        <w:pStyle w:val="18"/>
        <w:numPr>
          <w:ilvl w:val="0"/>
          <w:numId w:val="15"/>
        </w:numPr>
        <w:tabs>
          <w:tab w:val="left" w:pos="2028"/>
        </w:tabs>
        <w:spacing w:before="0" w:after="0" w:line="307" w:lineRule="exact"/>
        <w:ind w:left="2027" w:right="0" w:hanging="722"/>
        <w:jc w:val="left"/>
        <w:rPr>
          <w:sz w:val="24"/>
        </w:rPr>
      </w:pPr>
      <w:r>
        <w:rPr>
          <w:sz w:val="24"/>
        </w:rPr>
        <w:t>“日”是指任何一天零时至第二天零时的时间段。</w:t>
      </w:r>
    </w:p>
    <w:p>
      <w:pPr>
        <w:pStyle w:val="18"/>
        <w:numPr>
          <w:ilvl w:val="0"/>
          <w:numId w:val="15"/>
        </w:numPr>
        <w:tabs>
          <w:tab w:val="left" w:pos="2018"/>
        </w:tabs>
        <w:spacing w:before="93" w:after="0" w:line="312" w:lineRule="auto"/>
        <w:ind w:left="826" w:right="1111" w:firstLine="472"/>
        <w:jc w:val="left"/>
        <w:rPr>
          <w:sz w:val="24"/>
        </w:rPr>
      </w:pPr>
      <w:r>
        <w:rPr>
          <w:spacing w:val="-4"/>
          <w:sz w:val="24"/>
        </w:rPr>
        <w:t>“月”是指根据公历从一个月份中任何一天开始到下列个月相应日期的前</w:t>
      </w:r>
      <w:r>
        <w:rPr>
          <w:sz w:val="24"/>
        </w:rPr>
        <w:t>一天的时间段。</w:t>
      </w:r>
    </w:p>
    <w:p>
      <w:pPr>
        <w:pStyle w:val="11"/>
        <w:tabs>
          <w:tab w:val="left" w:pos="2266"/>
        </w:tabs>
        <w:spacing w:line="312" w:lineRule="auto"/>
        <w:ind w:left="826" w:right="1111" w:firstLine="480"/>
      </w:pPr>
      <w:r>
        <w:t>第二条</w:t>
      </w:r>
      <w:r>
        <w:tab/>
      </w:r>
      <w:r>
        <w:t>建设工程委托监理合同适用的法律是指国家的法律</w:t>
      </w:r>
      <w:r>
        <w:rPr>
          <w:spacing w:val="-17"/>
        </w:rPr>
        <w:t>、</w:t>
      </w:r>
      <w:r>
        <w:t>行政法规</w:t>
      </w:r>
      <w:r>
        <w:rPr>
          <w:spacing w:val="-17"/>
        </w:rPr>
        <w:t>，</w:t>
      </w:r>
      <w:r>
        <w:t>以及</w:t>
      </w:r>
      <w:r>
        <w:rPr>
          <w:spacing w:val="-17"/>
        </w:rPr>
        <w:t>专</w:t>
      </w:r>
      <w:r>
        <w:t>用条件中议定的部门规章或工程所在地的地方法规、地方规章。</w:t>
      </w:r>
    </w:p>
    <w:p>
      <w:pPr>
        <w:pStyle w:val="11"/>
        <w:tabs>
          <w:tab w:val="left" w:pos="2266"/>
        </w:tabs>
        <w:spacing w:line="312" w:lineRule="auto"/>
        <w:ind w:left="826" w:right="1111" w:firstLine="480"/>
      </w:pPr>
      <w:r>
        <w:t>第三条</w:t>
      </w:r>
      <w:r>
        <w:tab/>
      </w:r>
      <w:r>
        <w:t>本合同文件使用汉语语言文字书写</w:t>
      </w:r>
      <w:r>
        <w:rPr>
          <w:spacing w:val="-17"/>
        </w:rPr>
        <w:t>、</w:t>
      </w:r>
      <w:r>
        <w:t>解释和说明</w:t>
      </w:r>
      <w:r>
        <w:rPr>
          <w:spacing w:val="-17"/>
        </w:rPr>
        <w:t>。</w:t>
      </w:r>
      <w:r>
        <w:t>如专用条件约定使</w:t>
      </w:r>
      <w:r>
        <w:rPr>
          <w:spacing w:val="-17"/>
        </w:rPr>
        <w:t>用</w:t>
      </w:r>
      <w:r>
        <w:t>两种以上（含两种）语言文字时，汉语应为解释和说明本合同的标准语言文字。</w:t>
      </w:r>
    </w:p>
    <w:p>
      <w:pPr>
        <w:pStyle w:val="11"/>
        <w:spacing w:before="2"/>
        <w:ind w:left="1306"/>
      </w:pPr>
      <w:r>
        <w:t>监理人义务</w:t>
      </w:r>
    </w:p>
    <w:p>
      <w:pPr>
        <w:pStyle w:val="11"/>
        <w:spacing w:before="91" w:line="312" w:lineRule="auto"/>
        <w:ind w:left="826" w:right="1111" w:firstLine="480"/>
        <w:jc w:val="both"/>
      </w:pPr>
      <w:r>
        <w:rPr>
          <w:spacing w:val="-3"/>
        </w:rPr>
        <w:t>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w:t>
      </w:r>
      <w:r>
        <w:t>向委托人报告监理工作。</w:t>
      </w:r>
    </w:p>
    <w:p>
      <w:pPr>
        <w:spacing w:after="0" w:line="312" w:lineRule="auto"/>
        <w:jc w:val="both"/>
        <w:sectPr>
          <w:pgSz w:w="11910" w:h="16840"/>
          <w:pgMar w:top="1580" w:right="360" w:bottom="1300" w:left="760" w:header="0" w:footer="1109" w:gutter="0"/>
        </w:sectPr>
      </w:pPr>
    </w:p>
    <w:p>
      <w:pPr>
        <w:pStyle w:val="11"/>
        <w:rPr>
          <w:sz w:val="20"/>
        </w:rPr>
      </w:pPr>
    </w:p>
    <w:p>
      <w:pPr>
        <w:pStyle w:val="11"/>
        <w:spacing w:before="1"/>
        <w:rPr>
          <w:sz w:val="20"/>
        </w:rPr>
      </w:pPr>
    </w:p>
    <w:p>
      <w:pPr>
        <w:pStyle w:val="11"/>
        <w:tabs>
          <w:tab w:val="left" w:pos="2266"/>
        </w:tabs>
        <w:spacing w:before="66" w:line="312" w:lineRule="auto"/>
        <w:ind w:left="826" w:right="1111" w:firstLine="480"/>
      </w:pPr>
      <w:r>
        <w:t>第五条</w:t>
      </w:r>
      <w:r>
        <w:tab/>
      </w:r>
      <w:r>
        <w:t>监理人在履行本合同的义务期间</w:t>
      </w:r>
      <w:r>
        <w:rPr>
          <w:spacing w:val="-12"/>
        </w:rPr>
        <w:t>，</w:t>
      </w:r>
      <w:r>
        <w:t>应认真</w:t>
      </w:r>
      <w:r>
        <w:rPr>
          <w:spacing w:val="-12"/>
        </w:rPr>
        <w:t>、</w:t>
      </w:r>
      <w:r>
        <w:t>勤奋地工作</w:t>
      </w:r>
      <w:r>
        <w:rPr>
          <w:spacing w:val="-12"/>
        </w:rPr>
        <w:t>，</w:t>
      </w:r>
      <w:r>
        <w:t>为委托人提</w:t>
      </w:r>
      <w:r>
        <w:rPr>
          <w:spacing w:val="-17"/>
        </w:rPr>
        <w:t>供</w:t>
      </w:r>
      <w:r>
        <w:t>与其水平相适应的咨询意见，公正维护各方面的合理权益。</w:t>
      </w:r>
    </w:p>
    <w:p>
      <w:pPr>
        <w:pStyle w:val="11"/>
        <w:tabs>
          <w:tab w:val="left" w:pos="2266"/>
        </w:tabs>
        <w:spacing w:before="2" w:line="312" w:lineRule="auto"/>
        <w:ind w:left="826" w:right="1111" w:firstLine="480"/>
      </w:pPr>
      <w:r>
        <w:t>第六条</w:t>
      </w:r>
      <w:r>
        <w:tab/>
      </w:r>
      <w:r>
        <w:t>监理人使用委托人提供的设施和物品属委托人的财产</w:t>
      </w:r>
      <w:r>
        <w:rPr>
          <w:spacing w:val="-34"/>
        </w:rPr>
        <w:t>。</w:t>
      </w:r>
      <w:r>
        <w:t>在监理工作完</w:t>
      </w:r>
      <w:r>
        <w:rPr>
          <w:spacing w:val="-17"/>
        </w:rPr>
        <w:t>成</w:t>
      </w:r>
      <w:r>
        <w:t>或中止时，应将其设施和剩余的物品按合同约定的时间和方式移交给委托人。</w:t>
      </w:r>
    </w:p>
    <w:p>
      <w:pPr>
        <w:pStyle w:val="11"/>
        <w:tabs>
          <w:tab w:val="left" w:pos="2266"/>
        </w:tabs>
        <w:spacing w:line="312" w:lineRule="auto"/>
        <w:ind w:left="826" w:right="1111" w:firstLine="480"/>
      </w:pPr>
      <w:r>
        <w:t>第七条</w:t>
      </w:r>
      <w:r>
        <w:tab/>
      </w:r>
      <w:r>
        <w:t>在合同期内或合同终止后</w:t>
      </w:r>
      <w:r>
        <w:rPr>
          <w:spacing w:val="-12"/>
        </w:rPr>
        <w:t>，</w:t>
      </w:r>
      <w:r>
        <w:t>未征得有关方同意</w:t>
      </w:r>
      <w:r>
        <w:rPr>
          <w:spacing w:val="-12"/>
        </w:rPr>
        <w:t>，</w:t>
      </w:r>
      <w:r>
        <w:t>不得泄露与本工程</w:t>
      </w:r>
      <w:r>
        <w:rPr>
          <w:spacing w:val="-12"/>
        </w:rPr>
        <w:t>、</w:t>
      </w:r>
      <w:r>
        <w:rPr>
          <w:spacing w:val="-17"/>
        </w:rPr>
        <w:t>本</w:t>
      </w:r>
      <w:r>
        <w:t>合同业务有关的保密资料。</w:t>
      </w:r>
    </w:p>
    <w:p>
      <w:pPr>
        <w:pStyle w:val="11"/>
        <w:spacing w:line="307" w:lineRule="exact"/>
        <w:ind w:left="1306"/>
      </w:pPr>
      <w:r>
        <w:t>委托人义务</w:t>
      </w:r>
    </w:p>
    <w:p>
      <w:pPr>
        <w:pStyle w:val="11"/>
        <w:tabs>
          <w:tab w:val="left" w:pos="2266"/>
        </w:tabs>
        <w:spacing w:before="93"/>
        <w:ind w:left="1306"/>
      </w:pPr>
      <w:r>
        <w:t>第八条</w:t>
      </w:r>
      <w:r>
        <w:tab/>
      </w:r>
      <w:r>
        <w:t>委托人在监理人开展监理业务之前应向监理人支付预付款。</w:t>
      </w:r>
    </w:p>
    <w:p>
      <w:pPr>
        <w:pStyle w:val="11"/>
        <w:spacing w:before="93" w:line="312" w:lineRule="auto"/>
        <w:ind w:left="826" w:right="1111" w:firstLine="480"/>
        <w:jc w:val="both"/>
      </w:pPr>
      <w:r>
        <w:rPr>
          <w:spacing w:val="-3"/>
        </w:rPr>
        <w:t>第九条 委托人应当负责工程建设的所有外部关系的协调，为监理工作提供外部</w:t>
      </w:r>
      <w:r>
        <w:rPr>
          <w:spacing w:val="-7"/>
        </w:rPr>
        <w:t>条件。根据需要，如将部分或全部协调工作委托监理人承担，则应在专用条件中明确</w:t>
      </w:r>
      <w:r>
        <w:t>委托的工作和相应的报酬。</w:t>
      </w:r>
    </w:p>
    <w:p>
      <w:pPr>
        <w:pStyle w:val="11"/>
        <w:spacing w:before="1" w:line="312" w:lineRule="auto"/>
        <w:ind w:left="826" w:right="1111" w:firstLine="492"/>
        <w:jc w:val="both"/>
      </w:pPr>
      <w:r>
        <w:rPr>
          <w:spacing w:val="3"/>
        </w:rPr>
        <w:t>第十条 委托人应当在双方约定的时间内免费向监理人提供与工程有关的为监理工作所需要的工程资料。</w:t>
      </w:r>
    </w:p>
    <w:p>
      <w:pPr>
        <w:pStyle w:val="11"/>
        <w:spacing w:line="312" w:lineRule="auto"/>
        <w:ind w:left="826" w:right="1113" w:firstLine="492"/>
        <w:jc w:val="both"/>
      </w:pPr>
      <w:r>
        <w:t>第十一条 委托人应当在专用条款约定的时间内就监理人书面提交并要求作出决定的一切事宜作出书面决定。</w:t>
      </w:r>
    </w:p>
    <w:p>
      <w:pPr>
        <w:pStyle w:val="11"/>
        <w:spacing w:line="312" w:lineRule="auto"/>
        <w:ind w:left="826" w:right="991" w:firstLine="480"/>
        <w:jc w:val="both"/>
      </w:pPr>
      <w:r>
        <w:rPr>
          <w:spacing w:val="-2"/>
        </w:rPr>
        <w:t>第十二条  委托人应当授权一名熟悉工程情况、能在规定时间内作出决定的常驻</w:t>
      </w:r>
      <w:r>
        <w:rPr>
          <w:spacing w:val="-18"/>
        </w:rPr>
        <w:t>代表</w:t>
      </w:r>
      <w:r>
        <w:t>（在专用条款中约定</w:t>
      </w:r>
      <w:r>
        <w:rPr>
          <w:spacing w:val="-32"/>
        </w:rPr>
        <w:t>），</w:t>
      </w:r>
      <w:r>
        <w:rPr>
          <w:spacing w:val="-7"/>
        </w:rPr>
        <w:t>负责与监理人联系。更换常驻代表，要提前通知监理人。</w:t>
      </w:r>
    </w:p>
    <w:p>
      <w:pPr>
        <w:pStyle w:val="11"/>
        <w:spacing w:before="2" w:line="312" w:lineRule="auto"/>
        <w:ind w:left="826" w:right="1111" w:firstLine="492"/>
        <w:jc w:val="both"/>
      </w:pPr>
      <w:r>
        <w:rPr>
          <w:spacing w:val="3"/>
        </w:rPr>
        <w:t>第十三条 委托人应当授予监理人的监理权利，以及监理人主要成员的职能分</w:t>
      </w:r>
      <w:r>
        <w:rPr>
          <w:spacing w:val="-6"/>
        </w:rPr>
        <w:t>工、监理权限及时书面通知已选定的承包合同的承包人，并在与第三人签订的合同中</w:t>
      </w:r>
      <w:r>
        <w:t>予以明确。</w:t>
      </w:r>
    </w:p>
    <w:p>
      <w:pPr>
        <w:pStyle w:val="11"/>
        <w:tabs>
          <w:tab w:val="left" w:pos="2506"/>
        </w:tabs>
        <w:ind w:left="1306"/>
      </w:pPr>
      <w:r>
        <w:t>第十四条</w:t>
      </w:r>
      <w:r>
        <w:tab/>
      </w:r>
      <w:r>
        <w:t>委托人应在不影响监理人开展监理工作的时间内提供如下资料：</w:t>
      </w:r>
    </w:p>
    <w:p>
      <w:pPr>
        <w:pStyle w:val="18"/>
        <w:numPr>
          <w:ilvl w:val="0"/>
          <w:numId w:val="16"/>
        </w:numPr>
        <w:tabs>
          <w:tab w:val="left" w:pos="1908"/>
        </w:tabs>
        <w:spacing w:before="91" w:after="0" w:line="240" w:lineRule="auto"/>
        <w:ind w:left="1907" w:right="0" w:hanging="602"/>
        <w:jc w:val="left"/>
        <w:rPr>
          <w:sz w:val="24"/>
        </w:rPr>
      </w:pPr>
      <w:r>
        <w:rPr>
          <w:sz w:val="24"/>
        </w:rPr>
        <w:t>与本工程合作的原材料、构配件、设备等生产厂家名录。</w:t>
      </w:r>
    </w:p>
    <w:p>
      <w:pPr>
        <w:pStyle w:val="18"/>
        <w:numPr>
          <w:ilvl w:val="0"/>
          <w:numId w:val="16"/>
        </w:numPr>
        <w:tabs>
          <w:tab w:val="left" w:pos="1908"/>
        </w:tabs>
        <w:spacing w:before="94" w:after="0" w:line="240" w:lineRule="auto"/>
        <w:ind w:left="1907" w:right="0" w:hanging="602"/>
        <w:jc w:val="left"/>
        <w:rPr>
          <w:sz w:val="24"/>
        </w:rPr>
      </w:pPr>
      <w:r>
        <w:rPr>
          <w:sz w:val="24"/>
        </w:rPr>
        <w:t>提供与本工程有关的协作单位、配合单位的名录。</w:t>
      </w:r>
    </w:p>
    <w:p>
      <w:pPr>
        <w:pStyle w:val="11"/>
        <w:spacing w:before="93" w:line="312" w:lineRule="auto"/>
        <w:ind w:left="826" w:right="1111" w:firstLine="480"/>
        <w:jc w:val="both"/>
      </w:pPr>
      <w:r>
        <w:t>第十五条 委托人应免费向监理人提供办公用房、通讯设施、监理人员工地住房及合同专用条件约定的设施，对监理人自备的设施给予合理的经济补偿（补偿金额= 设施在工程使用时间占折旧年限的比例×设施原值＋管理费）。</w:t>
      </w:r>
    </w:p>
    <w:p>
      <w:pPr>
        <w:pStyle w:val="11"/>
        <w:spacing w:before="1" w:line="312" w:lineRule="auto"/>
        <w:ind w:left="826" w:right="991" w:firstLine="480"/>
        <w:jc w:val="both"/>
      </w:pPr>
      <w:r>
        <w:rPr>
          <w:spacing w:val="-12"/>
        </w:rPr>
        <w:t xml:space="preserve">第十六条 根据情况需要，如果双方约定，由委托人免费向监理人提供其他人员， </w:t>
      </w:r>
      <w:r>
        <w:t>应在监理合同专用条款中予以明确。</w:t>
      </w:r>
    </w:p>
    <w:p>
      <w:pPr>
        <w:pStyle w:val="11"/>
        <w:spacing w:line="307" w:lineRule="exact"/>
        <w:ind w:left="1306"/>
      </w:pPr>
      <w:r>
        <w:t>监理人权利</w:t>
      </w:r>
    </w:p>
    <w:p>
      <w:pPr>
        <w:pStyle w:val="11"/>
        <w:tabs>
          <w:tab w:val="left" w:pos="2506"/>
        </w:tabs>
        <w:spacing w:before="93"/>
        <w:ind w:left="1306"/>
      </w:pPr>
      <w:r>
        <w:t>第十七条</w:t>
      </w:r>
      <w:r>
        <w:tab/>
      </w:r>
      <w:r>
        <w:t>监理人在委托人委托的工程范围内，享有以下权利：</w:t>
      </w:r>
    </w:p>
    <w:p>
      <w:pPr>
        <w:pStyle w:val="18"/>
        <w:numPr>
          <w:ilvl w:val="0"/>
          <w:numId w:val="17"/>
        </w:numPr>
        <w:tabs>
          <w:tab w:val="left" w:pos="1908"/>
        </w:tabs>
        <w:spacing w:before="91" w:after="0" w:line="240" w:lineRule="auto"/>
        <w:ind w:left="1907" w:right="0" w:hanging="602"/>
        <w:jc w:val="left"/>
        <w:rPr>
          <w:sz w:val="24"/>
        </w:rPr>
      </w:pPr>
      <w:r>
        <w:rPr>
          <w:sz w:val="24"/>
        </w:rPr>
        <w:t>选择工程总承包人的建议权。</w:t>
      </w:r>
    </w:p>
    <w:p>
      <w:pPr>
        <w:spacing w:after="0" w:line="240" w:lineRule="auto"/>
        <w:jc w:val="left"/>
        <w:rPr>
          <w:sz w:val="24"/>
        </w:rPr>
        <w:sectPr>
          <w:pgSz w:w="11910" w:h="16840"/>
          <w:pgMar w:top="1580" w:right="360" w:bottom="1300" w:left="760" w:header="0" w:footer="1109" w:gutter="0"/>
        </w:sectPr>
      </w:pPr>
    </w:p>
    <w:p>
      <w:pPr>
        <w:pStyle w:val="11"/>
        <w:rPr>
          <w:sz w:val="20"/>
        </w:rPr>
      </w:pPr>
    </w:p>
    <w:p>
      <w:pPr>
        <w:pStyle w:val="11"/>
        <w:spacing w:before="1"/>
        <w:rPr>
          <w:sz w:val="20"/>
        </w:rPr>
      </w:pPr>
    </w:p>
    <w:p>
      <w:pPr>
        <w:pStyle w:val="18"/>
        <w:numPr>
          <w:ilvl w:val="0"/>
          <w:numId w:val="17"/>
        </w:numPr>
        <w:tabs>
          <w:tab w:val="left" w:pos="1908"/>
        </w:tabs>
        <w:spacing w:before="66" w:after="0" w:line="240" w:lineRule="auto"/>
        <w:ind w:left="1907" w:right="0" w:hanging="602"/>
        <w:jc w:val="left"/>
        <w:rPr>
          <w:sz w:val="24"/>
        </w:rPr>
      </w:pPr>
      <w:r>
        <w:rPr>
          <w:sz w:val="24"/>
        </w:rPr>
        <w:t>选择工程分包人的认可权。</w:t>
      </w:r>
    </w:p>
    <w:p>
      <w:pPr>
        <w:pStyle w:val="18"/>
        <w:numPr>
          <w:ilvl w:val="0"/>
          <w:numId w:val="17"/>
        </w:numPr>
        <w:tabs>
          <w:tab w:val="left" w:pos="1919"/>
        </w:tabs>
        <w:spacing w:before="93" w:after="0" w:line="312" w:lineRule="auto"/>
        <w:ind w:left="826" w:right="1113" w:firstLine="484"/>
        <w:jc w:val="left"/>
        <w:rPr>
          <w:sz w:val="24"/>
        </w:rPr>
      </w:pPr>
      <w:r>
        <w:rPr>
          <w:sz w:val="24"/>
        </w:rPr>
        <w:t>对工程建设有关事项包括工程规模、设计标准、规划设计、生产工艺设计和使用功能要求，向委托人的建议权。</w:t>
      </w:r>
    </w:p>
    <w:p>
      <w:pPr>
        <w:pStyle w:val="18"/>
        <w:numPr>
          <w:ilvl w:val="0"/>
          <w:numId w:val="17"/>
        </w:numPr>
        <w:tabs>
          <w:tab w:val="left" w:pos="1919"/>
        </w:tabs>
        <w:spacing w:before="0" w:after="0" w:line="312" w:lineRule="auto"/>
        <w:ind w:left="826" w:right="1077" w:firstLine="484"/>
        <w:jc w:val="both"/>
        <w:rPr>
          <w:sz w:val="24"/>
        </w:rPr>
      </w:pPr>
      <w:r>
        <w:rPr>
          <w:sz w:val="24"/>
        </w:rPr>
        <w:t xml:space="preserve">对工程设计中的技术问题，按照安全和优化的原则，向设计人提出建议； </w:t>
      </w:r>
      <w:r>
        <w:rPr>
          <w:spacing w:val="-1"/>
          <w:sz w:val="24"/>
        </w:rPr>
        <w:t xml:space="preserve">如果拟提出的建议可能会提供工程造价，或延长工期，应当事先征得委托人的同意。当发现工程设计不符合国家颁布的建设工程质量标准和设计合同约定的质量标准时， </w:t>
      </w:r>
      <w:r>
        <w:rPr>
          <w:sz w:val="24"/>
        </w:rPr>
        <w:t>监理人应当书面报告委托人并要求设计人更正。</w:t>
      </w:r>
    </w:p>
    <w:p>
      <w:pPr>
        <w:pStyle w:val="18"/>
        <w:numPr>
          <w:ilvl w:val="0"/>
          <w:numId w:val="17"/>
        </w:numPr>
        <w:tabs>
          <w:tab w:val="left" w:pos="1919"/>
        </w:tabs>
        <w:spacing w:before="2" w:after="0" w:line="312" w:lineRule="auto"/>
        <w:ind w:left="826" w:right="1113" w:firstLine="484"/>
        <w:jc w:val="left"/>
        <w:rPr>
          <w:sz w:val="24"/>
        </w:rPr>
      </w:pPr>
      <w:r>
        <w:rPr>
          <w:sz w:val="24"/>
        </w:rPr>
        <w:t>审批工程施工组织设计和技术方案，按照保质量、保工期和降低成本的原则，向承包人提出建议，并向委托人提出书面报告。</w:t>
      </w:r>
    </w:p>
    <w:p>
      <w:pPr>
        <w:pStyle w:val="18"/>
        <w:numPr>
          <w:ilvl w:val="0"/>
          <w:numId w:val="17"/>
        </w:numPr>
        <w:tabs>
          <w:tab w:val="left" w:pos="1919"/>
        </w:tabs>
        <w:spacing w:before="0" w:after="0" w:line="312" w:lineRule="auto"/>
        <w:ind w:left="826" w:right="1113" w:firstLine="484"/>
        <w:jc w:val="left"/>
        <w:rPr>
          <w:sz w:val="24"/>
        </w:rPr>
      </w:pPr>
      <w:r>
        <w:rPr>
          <w:sz w:val="24"/>
        </w:rPr>
        <w:t>主持工程建设有关协作单位的组织协调，重要协调事项应当事先向委托人报告。</w:t>
      </w:r>
    </w:p>
    <w:p>
      <w:pPr>
        <w:pStyle w:val="18"/>
        <w:numPr>
          <w:ilvl w:val="0"/>
          <w:numId w:val="17"/>
        </w:numPr>
        <w:tabs>
          <w:tab w:val="left" w:pos="1919"/>
        </w:tabs>
        <w:spacing w:before="2" w:after="0" w:line="312" w:lineRule="auto"/>
        <w:ind w:left="826" w:right="1113" w:firstLine="484"/>
        <w:jc w:val="both"/>
        <w:rPr>
          <w:sz w:val="24"/>
        </w:rPr>
      </w:pPr>
      <w:r>
        <w:rPr>
          <w:sz w:val="24"/>
        </w:rPr>
        <w:t>征得委托人同意，监理人有权发布开工令、停工令、复工令，但应当事先</w:t>
      </w:r>
      <w:r>
        <w:rPr>
          <w:spacing w:val="-2"/>
          <w:sz w:val="24"/>
        </w:rPr>
        <w:t xml:space="preserve">向委托人报告。如在紧急情况下未能事先报告时，则应在 </w:t>
      </w:r>
      <w:r>
        <w:rPr>
          <w:sz w:val="24"/>
        </w:rPr>
        <w:t>24</w:t>
      </w:r>
      <w:r>
        <w:rPr>
          <w:spacing w:val="-6"/>
          <w:sz w:val="24"/>
        </w:rPr>
        <w:t xml:space="preserve"> 小时内向委托人作出书面报告。</w:t>
      </w:r>
    </w:p>
    <w:p>
      <w:pPr>
        <w:pStyle w:val="18"/>
        <w:numPr>
          <w:ilvl w:val="0"/>
          <w:numId w:val="17"/>
        </w:numPr>
        <w:tabs>
          <w:tab w:val="left" w:pos="1919"/>
        </w:tabs>
        <w:spacing w:before="0" w:after="0" w:line="312" w:lineRule="auto"/>
        <w:ind w:left="826" w:right="1077" w:firstLine="484"/>
        <w:jc w:val="both"/>
        <w:rPr>
          <w:sz w:val="24"/>
        </w:rPr>
      </w:pPr>
      <w:r>
        <w:rPr>
          <w:sz w:val="24"/>
        </w:rPr>
        <w:t>工程上使用的材料和施工质量的检验权。对于不符合设计要求和合同约定</w:t>
      </w:r>
      <w:r>
        <w:rPr>
          <w:spacing w:val="-4"/>
          <w:sz w:val="24"/>
        </w:rPr>
        <w:t>及国家质量标准的材料、构配件、设备，有权通知承包人停止使用；对于不符合规范</w:t>
      </w:r>
      <w:r>
        <w:rPr>
          <w:spacing w:val="-5"/>
          <w:sz w:val="24"/>
        </w:rPr>
        <w:t>和质量标准的工序、分部、分项工程和不安全施工作业，有权通知承包人停工整改、</w:t>
      </w:r>
      <w:r>
        <w:rPr>
          <w:sz w:val="24"/>
        </w:rPr>
        <w:t>返工。承包人得到监理机构复工令后才能复工。</w:t>
      </w:r>
    </w:p>
    <w:p>
      <w:pPr>
        <w:pStyle w:val="18"/>
        <w:numPr>
          <w:ilvl w:val="0"/>
          <w:numId w:val="17"/>
        </w:numPr>
        <w:tabs>
          <w:tab w:val="left" w:pos="1919"/>
        </w:tabs>
        <w:spacing w:before="0" w:after="0" w:line="312" w:lineRule="auto"/>
        <w:ind w:left="826" w:right="1113" w:firstLine="484"/>
        <w:jc w:val="left"/>
        <w:rPr>
          <w:sz w:val="24"/>
        </w:rPr>
      </w:pPr>
      <w:r>
        <w:rPr>
          <w:sz w:val="24"/>
        </w:rPr>
        <w:t>工程施工进度的检查、监督权，以及工程实际竣工日期提前或超过工程施工合同规定的竣工期限的签订权。</w:t>
      </w:r>
    </w:p>
    <w:p>
      <w:pPr>
        <w:pStyle w:val="18"/>
        <w:numPr>
          <w:ilvl w:val="0"/>
          <w:numId w:val="17"/>
        </w:numPr>
        <w:tabs>
          <w:tab w:val="left" w:pos="2018"/>
        </w:tabs>
        <w:spacing w:before="2" w:after="0" w:line="312" w:lineRule="auto"/>
        <w:ind w:left="826" w:right="1111" w:firstLine="472"/>
        <w:jc w:val="both"/>
        <w:rPr>
          <w:sz w:val="24"/>
        </w:rPr>
      </w:pPr>
      <w:r>
        <w:rPr>
          <w:spacing w:val="-3"/>
          <w:sz w:val="24"/>
        </w:rPr>
        <w:t>在工程施工合同约定的工程价格范围内，工程款支付的审核和签订权，以</w:t>
      </w:r>
      <w:r>
        <w:rPr>
          <w:spacing w:val="-4"/>
          <w:sz w:val="24"/>
        </w:rPr>
        <w:t>及工程结算的复核确认权与否决权。未经总监理工程师签字确认，委托人不支付工程</w:t>
      </w:r>
      <w:r>
        <w:rPr>
          <w:sz w:val="24"/>
        </w:rPr>
        <w:t>款。</w:t>
      </w:r>
    </w:p>
    <w:p>
      <w:pPr>
        <w:pStyle w:val="11"/>
        <w:spacing w:before="1" w:line="312" w:lineRule="auto"/>
        <w:ind w:left="826" w:right="1077" w:firstLine="480"/>
        <w:jc w:val="both"/>
      </w:pPr>
      <w:r>
        <w:t>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pPr>
        <w:pStyle w:val="11"/>
        <w:spacing w:line="312" w:lineRule="auto"/>
        <w:ind w:left="826" w:right="1111" w:firstLine="480"/>
        <w:jc w:val="both"/>
      </w:pPr>
      <w:r>
        <w:rPr>
          <w:spacing w:val="-3"/>
        </w:rPr>
        <w:t>第十九条 在委托的工程范围内，委托人或承包人对对方的任何意见和要求</w:t>
      </w:r>
      <w:r>
        <w:t>（</w:t>
      </w:r>
      <w:r>
        <w:rPr>
          <w:spacing w:val="-17"/>
        </w:rPr>
        <w:t>包</w:t>
      </w:r>
      <w:r>
        <w:t>括索赔要求</w:t>
      </w:r>
      <w:r>
        <w:rPr>
          <w:spacing w:val="-9"/>
        </w:rPr>
        <w:t>）</w:t>
      </w:r>
      <w:r>
        <w:rPr>
          <w:spacing w:val="-6"/>
        </w:rPr>
        <w:t>，均必须首先向监理机构提出，由监理机构研究处置意见，再同双方协商确定。当委托人和承包人发生争议时，监理机构应根据自己的职能，以独立的身份</w:t>
      </w:r>
      <w:r>
        <w:rPr>
          <w:spacing w:val="-7"/>
        </w:rPr>
        <w:t>判断，公正地进行调解。当双方的争议由政府建设行政主管部门调解或仲裁机构仲裁</w:t>
      </w:r>
    </w:p>
    <w:p>
      <w:pPr>
        <w:spacing w:after="0" w:line="312" w:lineRule="auto"/>
        <w:jc w:val="both"/>
        <w:sectPr>
          <w:pgSz w:w="11910" w:h="16840"/>
          <w:pgMar w:top="1580" w:right="360" w:bottom="1300" w:left="760" w:header="0" w:footer="1109" w:gutter="0"/>
        </w:sectPr>
      </w:pPr>
    </w:p>
    <w:p>
      <w:pPr>
        <w:pStyle w:val="11"/>
        <w:rPr>
          <w:sz w:val="20"/>
        </w:rPr>
      </w:pPr>
    </w:p>
    <w:p>
      <w:pPr>
        <w:pStyle w:val="11"/>
        <w:spacing w:before="1"/>
        <w:rPr>
          <w:sz w:val="20"/>
        </w:rPr>
      </w:pPr>
    </w:p>
    <w:p>
      <w:pPr>
        <w:pStyle w:val="11"/>
        <w:spacing w:before="66" w:line="312" w:lineRule="auto"/>
        <w:ind w:left="1306" w:right="6597" w:hanging="480"/>
      </w:pPr>
      <w:r>
        <w:t>时，应当提供作证的事实材料。委托人权利</w:t>
      </w:r>
    </w:p>
    <w:p>
      <w:pPr>
        <w:pStyle w:val="11"/>
        <w:spacing w:before="2"/>
        <w:ind w:left="1306"/>
        <w:jc w:val="both"/>
      </w:pPr>
      <w:r>
        <w:t>第二十条 委托人有选定工程总承包人，以及与其订立合同的权利。</w:t>
      </w:r>
    </w:p>
    <w:p>
      <w:pPr>
        <w:pStyle w:val="11"/>
        <w:spacing w:before="91" w:line="312" w:lineRule="auto"/>
        <w:ind w:left="826" w:right="1111" w:firstLine="480"/>
        <w:jc w:val="both"/>
      </w:pPr>
      <w:r>
        <w:t>第二十一条 委托人有对工程规模、设计标准、规划设计、生产工艺设计和设计使用功能要求的认定权，以及对工程设计变更的审批权。</w:t>
      </w:r>
    </w:p>
    <w:p>
      <w:pPr>
        <w:pStyle w:val="11"/>
        <w:spacing w:before="2"/>
        <w:ind w:left="1306"/>
        <w:jc w:val="both"/>
      </w:pPr>
      <w:r>
        <w:t>第二十二条 监理人调换总监理工程师须事先经委托人同意。</w:t>
      </w:r>
    </w:p>
    <w:p>
      <w:pPr>
        <w:pStyle w:val="11"/>
        <w:spacing w:before="91" w:line="312" w:lineRule="auto"/>
        <w:ind w:left="826" w:right="1113" w:firstLine="492"/>
        <w:jc w:val="both"/>
      </w:pPr>
      <w:r>
        <w:t>第二十三条 委托人有权要求监理人提交监理工作月报及监理业务范围内的专项报告。</w:t>
      </w:r>
    </w:p>
    <w:p>
      <w:pPr>
        <w:pStyle w:val="11"/>
        <w:spacing w:before="2" w:line="312" w:lineRule="auto"/>
        <w:ind w:left="826" w:right="1111" w:firstLine="480"/>
        <w:jc w:val="both"/>
      </w:pPr>
      <w:r>
        <w:rPr>
          <w:spacing w:val="-3"/>
        </w:rPr>
        <w:t>第二十四条 当委托人发现监理人员不按监理合同履行监理职责，或与承包人串</w:t>
      </w:r>
      <w:r>
        <w:rPr>
          <w:spacing w:val="-4"/>
        </w:rPr>
        <w:t>通给委托人或工程造成损失的，委托人有权要求监理便函换监理人员，直到终止合同</w:t>
      </w:r>
      <w:r>
        <w:t>并要求监理人承担相应的赔偿责任或连带赔偿责任。</w:t>
      </w:r>
    </w:p>
    <w:p>
      <w:pPr>
        <w:pStyle w:val="11"/>
        <w:spacing w:before="1"/>
        <w:ind w:left="1306"/>
      </w:pPr>
      <w:r>
        <w:t>监理人责任</w:t>
      </w:r>
    </w:p>
    <w:p>
      <w:pPr>
        <w:pStyle w:val="11"/>
        <w:spacing w:before="91" w:line="312" w:lineRule="auto"/>
        <w:ind w:left="826" w:right="1111" w:firstLine="480"/>
        <w:jc w:val="both"/>
      </w:pPr>
      <w:r>
        <w:rPr>
          <w:spacing w:val="-3"/>
        </w:rPr>
        <w:t>第二十五条 监理人的责任期即委托监理合同有效期。在监理过程中，如果因工程建设进度的推迟或延误而超过书面约定的日期，双方应进一步约定相应延长的合同</w:t>
      </w:r>
      <w:r>
        <w:t>期。</w:t>
      </w:r>
    </w:p>
    <w:p>
      <w:pPr>
        <w:pStyle w:val="11"/>
        <w:spacing w:line="312" w:lineRule="auto"/>
        <w:ind w:left="826" w:right="1111" w:firstLine="480"/>
        <w:jc w:val="both"/>
      </w:pPr>
      <w:r>
        <w:rPr>
          <w:spacing w:val="-4"/>
        </w:rPr>
        <w:t>第二十六条 监理人在责任期内，应当履行约定的义务。如果因监理人过失而造成了委托人的经济损失，应当向委托人赔偿。累计赔偿总额</w:t>
      </w:r>
      <w:r>
        <w:t>（</w:t>
      </w:r>
      <w:r>
        <w:rPr>
          <w:spacing w:val="-2"/>
        </w:rPr>
        <w:t>除本合同第二十四条规</w:t>
      </w:r>
      <w:r>
        <w:t>定以外）不应直过监理报酬总额（除去税金）。</w:t>
      </w:r>
    </w:p>
    <w:p>
      <w:pPr>
        <w:pStyle w:val="11"/>
        <w:spacing w:before="1" w:line="312" w:lineRule="auto"/>
        <w:ind w:left="826" w:right="1111" w:firstLine="480"/>
        <w:jc w:val="both"/>
      </w:pPr>
      <w:r>
        <w:rPr>
          <w:spacing w:val="-1"/>
        </w:rPr>
        <w:t>第二十七条 监理人对承包人违反合同规定的质量要求和完工</w:t>
      </w:r>
      <w:r>
        <w:t>（</w:t>
      </w:r>
      <w:r>
        <w:rPr>
          <w:spacing w:val="-3"/>
        </w:rPr>
        <w:t>交图、交货</w:t>
      </w:r>
      <w:r>
        <w:rPr>
          <w:spacing w:val="-12"/>
        </w:rPr>
        <w:t>）</w:t>
      </w:r>
      <w:r>
        <w:rPr>
          <w:spacing w:val="-17"/>
        </w:rPr>
        <w:t>时</w:t>
      </w:r>
      <w:r>
        <w:rPr>
          <w:spacing w:val="-7"/>
        </w:rPr>
        <w:t>限，不承担责任。因不可抗力导致委托监理合同不能全部或部分履行，监理人不承担</w:t>
      </w:r>
      <w:r>
        <w:t>责任。但对违反第五条规定引起的与之有关的事宜，向委托人承担赔偿责任。</w:t>
      </w:r>
    </w:p>
    <w:p>
      <w:pPr>
        <w:pStyle w:val="11"/>
        <w:spacing w:before="1" w:line="312" w:lineRule="auto"/>
        <w:ind w:left="826" w:right="1111" w:firstLine="480"/>
        <w:jc w:val="both"/>
      </w:pPr>
      <w:r>
        <w:t>第二十八条 监理人向委托人提出赔偿要求不能成立时，监理人应当补偿由于该索赔所导致委托人的各种费用支出。</w:t>
      </w:r>
    </w:p>
    <w:p>
      <w:pPr>
        <w:pStyle w:val="11"/>
        <w:spacing w:before="2"/>
        <w:ind w:left="1306"/>
      </w:pPr>
      <w:r>
        <w:t>委托人责任</w:t>
      </w:r>
    </w:p>
    <w:p>
      <w:pPr>
        <w:pStyle w:val="11"/>
        <w:tabs>
          <w:tab w:val="left" w:pos="2746"/>
        </w:tabs>
        <w:spacing w:before="91" w:line="312" w:lineRule="auto"/>
        <w:ind w:left="826" w:right="1111" w:firstLine="480"/>
      </w:pPr>
      <w:r>
        <w:t>第二十九条</w:t>
      </w:r>
      <w:r>
        <w:tab/>
      </w:r>
      <w:r>
        <w:t>委托人应当履行委托监理合同约定的义务</w:t>
      </w:r>
      <w:r>
        <w:rPr>
          <w:spacing w:val="-34"/>
        </w:rPr>
        <w:t>，</w:t>
      </w:r>
      <w:r>
        <w:t>如有违反则应当承担</w:t>
      </w:r>
      <w:r>
        <w:rPr>
          <w:spacing w:val="-17"/>
        </w:rPr>
        <w:t>违</w:t>
      </w:r>
      <w:r>
        <w:t>约责任，赔偿给监理人造成的经济损失。</w:t>
      </w:r>
    </w:p>
    <w:p>
      <w:pPr>
        <w:pStyle w:val="11"/>
        <w:spacing w:before="2" w:line="312" w:lineRule="auto"/>
        <w:ind w:left="826" w:right="1057" w:firstLine="480"/>
      </w:pPr>
      <w:r>
        <w:t>监理人处理委托业务时，因非监理人原因的事由受到损失的，可以向委托人要求补偿损失。</w:t>
      </w:r>
    </w:p>
    <w:p>
      <w:pPr>
        <w:pStyle w:val="11"/>
        <w:tabs>
          <w:tab w:val="left" w:pos="2506"/>
        </w:tabs>
        <w:spacing w:line="312" w:lineRule="auto"/>
        <w:ind w:left="826" w:right="1111" w:firstLine="480"/>
      </w:pPr>
      <w:r>
        <w:t>第三十条</w:t>
      </w:r>
      <w:r>
        <w:tab/>
      </w:r>
      <w:r>
        <w:t>委托人如果向监理人提出赔偿的要求不能成立</w:t>
      </w:r>
      <w:r>
        <w:rPr>
          <w:spacing w:val="-34"/>
        </w:rPr>
        <w:t>，</w:t>
      </w:r>
      <w:r>
        <w:t>则应当补偿由该索</w:t>
      </w:r>
      <w:r>
        <w:rPr>
          <w:spacing w:val="-17"/>
        </w:rPr>
        <w:t>赔</w:t>
      </w:r>
      <w:r>
        <w:t>所引起的监理人的各种费用支出。</w:t>
      </w:r>
    </w:p>
    <w:p>
      <w:pPr>
        <w:pStyle w:val="11"/>
        <w:spacing w:line="307" w:lineRule="exact"/>
        <w:ind w:left="1306"/>
      </w:pPr>
      <w:r>
        <w:t>合同生效、变更与终止</w:t>
      </w:r>
    </w:p>
    <w:p>
      <w:pPr>
        <w:spacing w:after="0" w:line="307" w:lineRule="exact"/>
        <w:sectPr>
          <w:pgSz w:w="11910" w:h="16840"/>
          <w:pgMar w:top="1580" w:right="360" w:bottom="1300" w:left="760" w:header="0" w:footer="1109" w:gutter="0"/>
        </w:sectPr>
      </w:pPr>
    </w:p>
    <w:p>
      <w:pPr>
        <w:pStyle w:val="11"/>
        <w:rPr>
          <w:sz w:val="20"/>
        </w:rPr>
      </w:pPr>
    </w:p>
    <w:p>
      <w:pPr>
        <w:pStyle w:val="11"/>
        <w:spacing w:before="1"/>
        <w:rPr>
          <w:sz w:val="20"/>
        </w:rPr>
      </w:pPr>
    </w:p>
    <w:p>
      <w:pPr>
        <w:pStyle w:val="11"/>
        <w:spacing w:before="66" w:line="312" w:lineRule="auto"/>
        <w:ind w:left="826" w:right="1111" w:firstLine="480"/>
        <w:jc w:val="both"/>
      </w:pPr>
      <w:r>
        <w:rPr>
          <w:spacing w:val="-3"/>
        </w:rPr>
        <w:t>第三十一条 由于委托人或承包人的原因使监理工作受到阻碍或延误，以致发生</w:t>
      </w:r>
      <w:r>
        <w:rPr>
          <w:spacing w:val="-4"/>
        </w:rPr>
        <w:t>了附加工作或延长了持续时间，则监理人应当将此情况与可能产生的影响及时通知委</w:t>
      </w:r>
      <w:r>
        <w:t>托人。完成监理业务的时间相应延长，并得到附加工作的报酬。</w:t>
      </w:r>
    </w:p>
    <w:p>
      <w:pPr>
        <w:pStyle w:val="11"/>
        <w:spacing w:before="1" w:line="312" w:lineRule="auto"/>
        <w:ind w:left="826" w:right="1111" w:firstLine="480"/>
        <w:jc w:val="both"/>
      </w:pPr>
      <w:r>
        <w:rPr>
          <w:spacing w:val="-3"/>
        </w:rPr>
        <w:t>第三十二条 在委托监理合同签订后，实际情况发生变化，使得监理人不能全部</w:t>
      </w:r>
      <w:r>
        <w:rPr>
          <w:spacing w:val="-4"/>
        </w:rPr>
        <w:t>或部分执行监理业务时，监理人应当立即通知委托人。该监理业务的完成时间应予延</w:t>
      </w:r>
      <w:r>
        <w:rPr>
          <w:spacing w:val="-2"/>
        </w:rPr>
        <w:t xml:space="preserve">长。当恢复执行监理业务时，应当增加不超过 </w:t>
      </w:r>
      <w:r>
        <w:t>42</w:t>
      </w:r>
      <w:r>
        <w:rPr>
          <w:spacing w:val="-6"/>
        </w:rPr>
        <w:t xml:space="preserve"> 日的时间用于恢复执行监理业务， 并按双方约定的数量支付监理报酬。</w:t>
      </w:r>
    </w:p>
    <w:p>
      <w:pPr>
        <w:pStyle w:val="11"/>
        <w:tabs>
          <w:tab w:val="left" w:pos="2746"/>
        </w:tabs>
        <w:spacing w:before="2" w:line="312" w:lineRule="auto"/>
        <w:ind w:left="826" w:right="991" w:firstLine="480"/>
      </w:pPr>
      <w:r>
        <w:t>第三十三条</w:t>
      </w:r>
      <w:r>
        <w:tab/>
      </w:r>
      <w:r>
        <w:t>监理人向委托人办理完竣工验收或工程移交手续</w:t>
      </w:r>
      <w:r>
        <w:rPr>
          <w:spacing w:val="-34"/>
        </w:rPr>
        <w:t>，</w:t>
      </w:r>
      <w:r>
        <w:t>承包人和委托人已签订工程保修责任书</w:t>
      </w:r>
      <w:r>
        <w:rPr>
          <w:spacing w:val="-51"/>
        </w:rPr>
        <w:t>，</w:t>
      </w:r>
      <w:r>
        <w:t>监理人收到监理报酬尾款</w:t>
      </w:r>
      <w:r>
        <w:rPr>
          <w:spacing w:val="-53"/>
        </w:rPr>
        <w:t>，</w:t>
      </w:r>
      <w:r>
        <w:t>本合同即终止</w:t>
      </w:r>
      <w:r>
        <w:rPr>
          <w:spacing w:val="-51"/>
        </w:rPr>
        <w:t>。</w:t>
      </w:r>
      <w:r>
        <w:t>保修期间的责任</w:t>
      </w:r>
      <w:r>
        <w:rPr>
          <w:spacing w:val="-16"/>
        </w:rPr>
        <w:t xml:space="preserve">， </w:t>
      </w:r>
      <w:r>
        <w:t>双方在专用条款中约定。</w:t>
      </w:r>
    </w:p>
    <w:p>
      <w:pPr>
        <w:pStyle w:val="11"/>
        <w:tabs>
          <w:tab w:val="left" w:pos="2765"/>
        </w:tabs>
        <w:spacing w:line="312" w:lineRule="auto"/>
        <w:ind w:left="826" w:right="1111" w:firstLine="484"/>
      </w:pPr>
      <w:r>
        <w:t>第三十四条</w:t>
      </w:r>
      <w:r>
        <w:tab/>
      </w:r>
      <w:r>
        <w:t>当事人一方要求变更或解除合同时，应当在</w:t>
      </w:r>
      <w:r>
        <w:rPr>
          <w:spacing w:val="-37"/>
        </w:rPr>
        <w:t xml:space="preserve"> </w:t>
      </w:r>
      <w:r>
        <w:t>42</w:t>
      </w:r>
      <w:r>
        <w:rPr>
          <w:spacing w:val="-34"/>
        </w:rPr>
        <w:t xml:space="preserve"> </w:t>
      </w:r>
      <w:r>
        <w:t>日前通知对方，因解除合同使一方遭受损失的，除依法可以免除责任的外，应由责任方负责赔偿。</w:t>
      </w:r>
    </w:p>
    <w:p>
      <w:pPr>
        <w:pStyle w:val="11"/>
        <w:spacing w:line="312" w:lineRule="auto"/>
        <w:ind w:left="826" w:right="1057" w:firstLine="480"/>
      </w:pPr>
      <w:r>
        <w:t>变更或解除合同的通知或协议必须采取书面形式，协议未达成之前，原合同仍然有效。</w:t>
      </w:r>
    </w:p>
    <w:p>
      <w:pPr>
        <w:pStyle w:val="11"/>
        <w:spacing w:before="2" w:line="312" w:lineRule="auto"/>
        <w:ind w:left="826" w:right="1111" w:firstLine="484"/>
        <w:jc w:val="both"/>
      </w:pPr>
      <w:r>
        <w:rPr>
          <w:spacing w:val="-3"/>
        </w:rPr>
        <w:t xml:space="preserve">第三十五条 监理人在应当获得监理报酬之日起 </w:t>
      </w:r>
      <w:r>
        <w:t>30</w:t>
      </w:r>
      <w:r>
        <w:rPr>
          <w:spacing w:val="-8"/>
        </w:rPr>
        <w:t xml:space="preserve"> 日内仍未收到支付单据，而</w:t>
      </w:r>
      <w:r>
        <w:rPr>
          <w:spacing w:val="-11"/>
        </w:rPr>
        <w:t>委托人又未对监理人提出任何书面解释时，或根据第三十一条及第三十二条已暂停执</w:t>
      </w:r>
      <w:r>
        <w:rPr>
          <w:spacing w:val="-4"/>
        </w:rPr>
        <w:t>行监理业务时限超过六个月的，监理人可向委托人发出终止合同的通知，发出通知后</w:t>
      </w:r>
      <w:r>
        <w:t>14</w:t>
      </w:r>
      <w:r>
        <w:rPr>
          <w:spacing w:val="-15"/>
        </w:rPr>
        <w:t xml:space="preserve"> 日内仍未得到委托人答复，可进一步发现终止合同的通知，如果第二份通知发出后</w:t>
      </w:r>
    </w:p>
    <w:p>
      <w:pPr>
        <w:pStyle w:val="11"/>
        <w:spacing w:line="312" w:lineRule="auto"/>
        <w:ind w:left="826" w:right="1111"/>
        <w:jc w:val="both"/>
      </w:pPr>
      <w:r>
        <w:t>42</w:t>
      </w:r>
      <w:r>
        <w:rPr>
          <w:spacing w:val="-15"/>
        </w:rPr>
        <w:t xml:space="preserve"> 日内仍未得到委托人答复，可终止合同或自行暂停或继续暂停执行全部或部分监理</w:t>
      </w:r>
      <w:r>
        <w:t>业务。委托人承担违约责任。</w:t>
      </w:r>
    </w:p>
    <w:p>
      <w:pPr>
        <w:pStyle w:val="11"/>
        <w:spacing w:before="2" w:line="312" w:lineRule="auto"/>
        <w:ind w:left="826" w:right="1111" w:firstLine="480"/>
        <w:jc w:val="both"/>
      </w:pPr>
      <w:r>
        <w:t>第三十六条 监理人由于非自己的原因而暂停或终止执行监理业务，其善后勤工作以及恢复执行监理业务的工作，应当视为额外工作，有权得到额外的报酬。</w:t>
      </w:r>
    </w:p>
    <w:p>
      <w:pPr>
        <w:pStyle w:val="11"/>
        <w:spacing w:line="312" w:lineRule="auto"/>
        <w:ind w:left="826" w:right="1111" w:firstLine="480"/>
        <w:jc w:val="both"/>
      </w:pPr>
      <w:r>
        <w:rPr>
          <w:spacing w:val="-3"/>
        </w:rPr>
        <w:t>第三十七条 当委托人认为监理人无正当理由而又未履行监理义务时，可向监理</w:t>
      </w:r>
      <w:r>
        <w:rPr>
          <w:spacing w:val="-2"/>
        </w:rPr>
        <w:t xml:space="preserve">人发现指明其未履行义务的通知。若委托人发出通知后 </w:t>
      </w:r>
      <w:r>
        <w:t>21</w:t>
      </w:r>
      <w:r>
        <w:rPr>
          <w:spacing w:val="-6"/>
        </w:rPr>
        <w:t xml:space="preserve"> 日内没有收到答复，可在</w:t>
      </w:r>
    </w:p>
    <w:p>
      <w:pPr>
        <w:pStyle w:val="11"/>
        <w:spacing w:line="312" w:lineRule="auto"/>
        <w:ind w:left="826" w:right="1113"/>
        <w:jc w:val="both"/>
      </w:pPr>
      <w:r>
        <w:rPr>
          <w:spacing w:val="-4"/>
        </w:rPr>
        <w:t xml:space="preserve">第一个通知发出后 </w:t>
      </w:r>
      <w:r>
        <w:t>35</w:t>
      </w:r>
      <w:r>
        <w:rPr>
          <w:spacing w:val="-6"/>
        </w:rPr>
        <w:t xml:space="preserve"> 日内发出终止委托监理合同的通知，合同即行终止。监理人承担违约责任。</w:t>
      </w:r>
    </w:p>
    <w:p>
      <w:pPr>
        <w:pStyle w:val="11"/>
        <w:spacing w:before="1" w:line="312" w:lineRule="auto"/>
        <w:ind w:left="1306" w:right="1557"/>
        <w:jc w:val="both"/>
      </w:pPr>
      <w:r>
        <w:rPr>
          <w:spacing w:val="-1"/>
        </w:rPr>
        <w:t>第三十八条 合同协议的终止并不影响各方应有的权利和应当承担的责任。</w:t>
      </w:r>
      <w:r>
        <w:t>监理报酬</w:t>
      </w:r>
    </w:p>
    <w:p>
      <w:pPr>
        <w:pStyle w:val="11"/>
        <w:spacing w:line="312" w:lineRule="auto"/>
        <w:ind w:left="826" w:right="1111" w:firstLine="480"/>
        <w:jc w:val="both"/>
      </w:pPr>
      <w:r>
        <w:t>第三十九条 正常的监理工作、附加工作和额外工作的报酬，按照监理合同专用条件中约定的方法计算，并按约定的时间和数额支付。</w:t>
      </w:r>
    </w:p>
    <w:p>
      <w:pPr>
        <w:pStyle w:val="11"/>
        <w:spacing w:line="307" w:lineRule="exact"/>
        <w:ind w:left="1306"/>
        <w:jc w:val="both"/>
      </w:pPr>
      <w:r>
        <w:t>第四十条 如果委托人在规定的支付期限内未支付监理报酬，自规定之日起，还</w:t>
      </w:r>
    </w:p>
    <w:p>
      <w:pPr>
        <w:spacing w:after="0" w:line="307" w:lineRule="exact"/>
        <w:jc w:val="both"/>
        <w:sectPr>
          <w:pgSz w:w="11910" w:h="16840"/>
          <w:pgMar w:top="1580" w:right="360" w:bottom="1300" w:left="760" w:header="0" w:footer="1109" w:gutter="0"/>
        </w:sectPr>
      </w:pPr>
    </w:p>
    <w:p>
      <w:pPr>
        <w:pStyle w:val="11"/>
        <w:rPr>
          <w:sz w:val="20"/>
        </w:rPr>
      </w:pPr>
    </w:p>
    <w:p>
      <w:pPr>
        <w:pStyle w:val="11"/>
        <w:spacing w:before="1"/>
        <w:rPr>
          <w:sz w:val="20"/>
        </w:rPr>
      </w:pPr>
    </w:p>
    <w:p>
      <w:pPr>
        <w:pStyle w:val="11"/>
        <w:spacing w:before="66"/>
        <w:ind w:left="826"/>
      </w:pPr>
      <w:r>
        <w:t>应向监理人支付滞纳金。滞纳金从规定支付期限最后一日起计算。</w:t>
      </w:r>
    </w:p>
    <w:p>
      <w:pPr>
        <w:pStyle w:val="11"/>
        <w:spacing w:before="93"/>
        <w:ind w:left="1306"/>
        <w:jc w:val="both"/>
      </w:pPr>
      <w:r>
        <w:t>第四十一条 支付监理报酬所采取的货币币种、汇率由合同专用条件约定。</w:t>
      </w:r>
    </w:p>
    <w:p>
      <w:pPr>
        <w:pStyle w:val="11"/>
        <w:spacing w:before="94" w:line="312" w:lineRule="auto"/>
        <w:ind w:left="826" w:right="1113" w:firstLine="492"/>
        <w:jc w:val="both"/>
      </w:pPr>
      <w:r>
        <w:rPr>
          <w:spacing w:val="3"/>
        </w:rPr>
        <w:t>第四十二条 如果委托人对监理人提交的支付通知中报酬或部分报酬项目提出</w:t>
      </w:r>
      <w:r>
        <w:t>异议，应当在收到支付通知书 24</w:t>
      </w:r>
      <w:r>
        <w:rPr>
          <w:spacing w:val="-6"/>
        </w:rPr>
        <w:t xml:space="preserve"> 小时内向监理人发出表示异议的通知，但委托人不得拖延其他无异议报酬项目的支付。</w:t>
      </w:r>
    </w:p>
    <w:p>
      <w:pPr>
        <w:pStyle w:val="11"/>
        <w:ind w:left="1306"/>
      </w:pPr>
      <w:r>
        <w:t>其他</w:t>
      </w:r>
    </w:p>
    <w:p>
      <w:pPr>
        <w:pStyle w:val="11"/>
        <w:tabs>
          <w:tab w:val="left" w:pos="2746"/>
        </w:tabs>
        <w:spacing w:before="91" w:line="312" w:lineRule="auto"/>
        <w:ind w:left="826" w:right="991" w:firstLine="480"/>
      </w:pPr>
      <w:r>
        <w:t>第四十三条</w:t>
      </w:r>
      <w:r>
        <w:tab/>
      </w:r>
      <w:r>
        <w:t>委托的建设工程监理所必要的监理人员出外考察</w:t>
      </w:r>
      <w:r>
        <w:rPr>
          <w:spacing w:val="-77"/>
        </w:rPr>
        <w:t>、</w:t>
      </w:r>
      <w:r>
        <w:t>材料</w:t>
      </w:r>
      <w:r>
        <w:rPr>
          <w:spacing w:val="-77"/>
        </w:rPr>
        <w:t>、</w:t>
      </w:r>
      <w:r>
        <w:t>设备复试</w:t>
      </w:r>
      <w:r>
        <w:rPr>
          <w:spacing w:val="-17"/>
        </w:rPr>
        <w:t xml:space="preserve">， </w:t>
      </w:r>
      <w:r>
        <w:t>其费用支出经委托人同意的，在预算范围内向委托人实报实销。</w:t>
      </w:r>
    </w:p>
    <w:p>
      <w:pPr>
        <w:pStyle w:val="11"/>
        <w:tabs>
          <w:tab w:val="left" w:pos="2746"/>
        </w:tabs>
        <w:spacing w:before="2" w:line="312" w:lineRule="auto"/>
        <w:ind w:left="826" w:right="1077" w:firstLine="480"/>
      </w:pPr>
      <w:r>
        <w:t>第四十四条</w:t>
      </w:r>
      <w:r>
        <w:tab/>
      </w:r>
      <w:r>
        <w:t>在监理业务范围内，如需聘用专家咨询或协助，由监理人聘用的</w:t>
      </w:r>
      <w:r>
        <w:rPr>
          <w:spacing w:val="-16"/>
        </w:rPr>
        <w:t xml:space="preserve">， </w:t>
      </w:r>
      <w:r>
        <w:t>其费用由监理人承担；由委托人聘用的，其费用由委托人承担。</w:t>
      </w:r>
    </w:p>
    <w:p>
      <w:pPr>
        <w:pStyle w:val="11"/>
        <w:tabs>
          <w:tab w:val="left" w:pos="2746"/>
        </w:tabs>
        <w:spacing w:line="312" w:lineRule="auto"/>
        <w:ind w:left="826" w:right="1111" w:firstLine="480"/>
      </w:pPr>
      <w:r>
        <w:t>第四十五条</w:t>
      </w:r>
      <w:r>
        <w:tab/>
      </w:r>
      <w:r>
        <w:t>监理人在监理工作过程中进出的合理化建议</w:t>
      </w:r>
      <w:r>
        <w:rPr>
          <w:spacing w:val="-34"/>
        </w:rPr>
        <w:t>，</w:t>
      </w:r>
      <w:r>
        <w:t>使委托人得到了经</w:t>
      </w:r>
      <w:r>
        <w:rPr>
          <w:spacing w:val="-17"/>
        </w:rPr>
        <w:t>济</w:t>
      </w:r>
      <w:r>
        <w:t>效益，委托人应按专用条件中的约定给予经济奖励。</w:t>
      </w:r>
    </w:p>
    <w:p>
      <w:pPr>
        <w:pStyle w:val="11"/>
        <w:tabs>
          <w:tab w:val="left" w:pos="2791"/>
        </w:tabs>
        <w:spacing w:line="312" w:lineRule="auto"/>
        <w:ind w:left="826" w:right="1113" w:firstLine="492"/>
      </w:pPr>
      <w:r>
        <w:rPr>
          <w:spacing w:val="4"/>
        </w:rPr>
        <w:t>第</w:t>
      </w:r>
      <w:r>
        <w:rPr>
          <w:spacing w:val="7"/>
        </w:rPr>
        <w:t>四</w:t>
      </w:r>
      <w:r>
        <w:rPr>
          <w:spacing w:val="4"/>
        </w:rPr>
        <w:t>十</w:t>
      </w:r>
      <w:r>
        <w:rPr>
          <w:spacing w:val="7"/>
        </w:rPr>
        <w:t>六</w:t>
      </w:r>
      <w:r>
        <w:t>条</w:t>
      </w:r>
      <w:r>
        <w:tab/>
      </w:r>
      <w:r>
        <w:rPr>
          <w:spacing w:val="4"/>
        </w:rPr>
        <w:t>监</w:t>
      </w:r>
      <w:r>
        <w:rPr>
          <w:spacing w:val="7"/>
        </w:rPr>
        <w:t>理</w:t>
      </w:r>
      <w:r>
        <w:rPr>
          <w:spacing w:val="4"/>
        </w:rPr>
        <w:t>人</w:t>
      </w:r>
      <w:r>
        <w:rPr>
          <w:spacing w:val="7"/>
        </w:rPr>
        <w:t>驻</w:t>
      </w:r>
      <w:r>
        <w:rPr>
          <w:spacing w:val="4"/>
        </w:rPr>
        <w:t>地</w:t>
      </w:r>
      <w:r>
        <w:rPr>
          <w:spacing w:val="7"/>
        </w:rPr>
        <w:t>监</w:t>
      </w:r>
      <w:r>
        <w:rPr>
          <w:spacing w:val="4"/>
        </w:rPr>
        <w:t>理</w:t>
      </w:r>
      <w:r>
        <w:rPr>
          <w:spacing w:val="7"/>
        </w:rPr>
        <w:t>机</w:t>
      </w:r>
      <w:r>
        <w:rPr>
          <w:spacing w:val="4"/>
        </w:rPr>
        <w:t>构及</w:t>
      </w:r>
      <w:r>
        <w:rPr>
          <w:spacing w:val="7"/>
        </w:rPr>
        <w:t>其</w:t>
      </w:r>
      <w:r>
        <w:rPr>
          <w:spacing w:val="4"/>
        </w:rPr>
        <w:t>职</w:t>
      </w:r>
      <w:r>
        <w:rPr>
          <w:spacing w:val="7"/>
        </w:rPr>
        <w:t>员</w:t>
      </w:r>
      <w:r>
        <w:rPr>
          <w:spacing w:val="4"/>
        </w:rPr>
        <w:t>不</w:t>
      </w:r>
      <w:r>
        <w:rPr>
          <w:spacing w:val="7"/>
        </w:rPr>
        <w:t>得</w:t>
      </w:r>
      <w:r>
        <w:rPr>
          <w:spacing w:val="4"/>
        </w:rPr>
        <w:t>接受</w:t>
      </w:r>
      <w:r>
        <w:rPr>
          <w:spacing w:val="7"/>
        </w:rPr>
        <w:t>监</w:t>
      </w:r>
      <w:r>
        <w:rPr>
          <w:spacing w:val="4"/>
        </w:rPr>
        <w:t>理</w:t>
      </w:r>
      <w:r>
        <w:rPr>
          <w:spacing w:val="7"/>
        </w:rPr>
        <w:t>工</w:t>
      </w:r>
      <w:r>
        <w:rPr>
          <w:spacing w:val="4"/>
        </w:rPr>
        <w:t>程</w:t>
      </w:r>
      <w:r>
        <w:rPr>
          <w:spacing w:val="7"/>
        </w:rPr>
        <w:t>项</w:t>
      </w:r>
      <w:r>
        <w:rPr>
          <w:spacing w:val="4"/>
        </w:rPr>
        <w:t>目</w:t>
      </w:r>
      <w:r>
        <w:rPr>
          <w:spacing w:val="7"/>
        </w:rPr>
        <w:t>施</w:t>
      </w:r>
      <w:r>
        <w:rPr>
          <w:spacing w:val="4"/>
        </w:rPr>
        <w:t>工承</w:t>
      </w:r>
      <w:r>
        <w:rPr>
          <w:spacing w:val="7"/>
        </w:rPr>
        <w:t>包</w:t>
      </w:r>
      <w:r>
        <w:t>人的任何报酬或者经济利益。</w:t>
      </w:r>
    </w:p>
    <w:p>
      <w:pPr>
        <w:pStyle w:val="11"/>
        <w:spacing w:before="2"/>
        <w:ind w:left="1306"/>
      </w:pPr>
      <w:r>
        <w:t>监理人不得参与可能与合同规定的与委托人的利益相冲突的任何活动。</w:t>
      </w:r>
    </w:p>
    <w:p>
      <w:pPr>
        <w:pStyle w:val="11"/>
        <w:tabs>
          <w:tab w:val="left" w:pos="2746"/>
        </w:tabs>
        <w:spacing w:before="91" w:line="312" w:lineRule="auto"/>
        <w:ind w:left="826" w:right="1111" w:firstLine="480"/>
      </w:pPr>
      <w:r>
        <w:t>第四十七条</w:t>
      </w:r>
      <w:r>
        <w:tab/>
      </w:r>
      <w:r>
        <w:t>监理人在监理过程中</w:t>
      </w:r>
      <w:r>
        <w:rPr>
          <w:spacing w:val="-17"/>
        </w:rPr>
        <w:t>，</w:t>
      </w:r>
      <w:r>
        <w:t>不得泄露委托人申明的秘密</w:t>
      </w:r>
      <w:r>
        <w:rPr>
          <w:spacing w:val="-17"/>
        </w:rPr>
        <w:t>，</w:t>
      </w:r>
      <w:r>
        <w:t>监理人亦不</w:t>
      </w:r>
      <w:r>
        <w:rPr>
          <w:spacing w:val="-17"/>
        </w:rPr>
        <w:t>得</w:t>
      </w:r>
      <w:r>
        <w:t>泄露设计人、承包人等提供并申明的秘密。</w:t>
      </w:r>
    </w:p>
    <w:p>
      <w:pPr>
        <w:pStyle w:val="11"/>
        <w:tabs>
          <w:tab w:val="left" w:pos="2746"/>
        </w:tabs>
        <w:spacing w:before="2" w:line="312" w:lineRule="auto"/>
        <w:ind w:left="826" w:right="1111" w:firstLine="480"/>
      </w:pPr>
      <w:r>
        <w:t>第四十八条</w:t>
      </w:r>
      <w:r>
        <w:tab/>
      </w:r>
      <w:r>
        <w:t>监理人对于由其编制的所有文件拥有版权</w:t>
      </w:r>
      <w:r>
        <w:rPr>
          <w:spacing w:val="-34"/>
        </w:rPr>
        <w:t>，</w:t>
      </w:r>
      <w:r>
        <w:t>委托人仅有权为本工</w:t>
      </w:r>
      <w:r>
        <w:rPr>
          <w:spacing w:val="-17"/>
        </w:rPr>
        <w:t>程</w:t>
      </w:r>
      <w:r>
        <w:t>使用或复制此类文件。</w:t>
      </w:r>
    </w:p>
    <w:p>
      <w:pPr>
        <w:pStyle w:val="11"/>
        <w:spacing w:line="307" w:lineRule="exact"/>
        <w:ind w:left="1306"/>
      </w:pPr>
      <w:r>
        <w:t>争议的解决</w:t>
      </w:r>
    </w:p>
    <w:p>
      <w:pPr>
        <w:pStyle w:val="11"/>
        <w:spacing w:before="93" w:line="312" w:lineRule="auto"/>
        <w:ind w:left="826" w:right="1111" w:firstLine="480"/>
        <w:jc w:val="both"/>
      </w:pPr>
      <w:r>
        <w:rPr>
          <w:spacing w:val="-3"/>
        </w:rPr>
        <w:t>第四十九条 因违反或终止合同而引起的对方损失和损害的赔偿，双方应当协商</w:t>
      </w:r>
      <w:r>
        <w:rPr>
          <w:spacing w:val="-7"/>
        </w:rPr>
        <w:t>解决，如未能达成一致，可提交主管部门协调，如仍未能达成一致时，根据双方约定</w:t>
      </w:r>
      <w:r>
        <w:t>提交仲裁机构仲裁，或向人民法院起诉。</w:t>
      </w:r>
    </w:p>
    <w:p>
      <w:pPr>
        <w:spacing w:after="0" w:line="312" w:lineRule="auto"/>
        <w:jc w:val="both"/>
        <w:sectPr>
          <w:pgSz w:w="11910" w:h="16840"/>
          <w:pgMar w:top="1580" w:right="360" w:bottom="1300" w:left="760" w:header="0" w:footer="1109" w:gutter="0"/>
        </w:sectPr>
      </w:pPr>
    </w:p>
    <w:p>
      <w:pPr>
        <w:pStyle w:val="11"/>
        <w:rPr>
          <w:sz w:val="20"/>
        </w:rPr>
      </w:pPr>
    </w:p>
    <w:p>
      <w:pPr>
        <w:pStyle w:val="11"/>
        <w:rPr>
          <w:sz w:val="16"/>
        </w:rPr>
      </w:pPr>
    </w:p>
    <w:p>
      <w:pPr>
        <w:pStyle w:val="7"/>
        <w:tabs>
          <w:tab w:val="left" w:pos="1504"/>
        </w:tabs>
      </w:pPr>
      <w:r>
        <w:t>第三部分</w:t>
      </w:r>
      <w:r>
        <w:tab/>
      </w:r>
      <w:r>
        <w:t>专用条件</w:t>
      </w:r>
    </w:p>
    <w:p>
      <w:pPr>
        <w:pStyle w:val="11"/>
        <w:tabs>
          <w:tab w:val="left" w:pos="2266"/>
        </w:tabs>
        <w:spacing w:before="77" w:line="312" w:lineRule="auto"/>
        <w:ind w:left="826" w:right="1111" w:firstLine="480"/>
      </w:pPr>
      <w:r>
        <w:t>第二条</w:t>
      </w:r>
      <w:r>
        <w:tab/>
      </w:r>
      <w:r>
        <w:t>本合同适用的法律及监理依据</w:t>
      </w:r>
      <w:r>
        <w:rPr>
          <w:spacing w:val="-34"/>
        </w:rPr>
        <w:t>：</w:t>
      </w:r>
      <w:r>
        <w:rPr>
          <w:u w:val="single"/>
        </w:rPr>
        <w:t>国家及建设行政部门的法律法规及有</w:t>
      </w:r>
      <w:r>
        <w:rPr>
          <w:spacing w:val="-17"/>
          <w:u w:val="single"/>
        </w:rPr>
        <w:t>关</w:t>
      </w:r>
      <w:r>
        <w:rPr>
          <w:spacing w:val="-220"/>
          <w:u w:val="single"/>
        </w:rPr>
        <w:t>规</w:t>
      </w:r>
      <w:r>
        <w:rPr>
          <w:u w:val="single"/>
        </w:rPr>
        <w:t>范和本工程的工程施工合同、监理合同。</w:t>
      </w:r>
    </w:p>
    <w:p>
      <w:pPr>
        <w:pStyle w:val="11"/>
        <w:tabs>
          <w:tab w:val="left" w:pos="2266"/>
        </w:tabs>
        <w:spacing w:line="312" w:lineRule="auto"/>
        <w:ind w:left="826" w:right="1111" w:firstLine="480"/>
      </w:pPr>
      <w:r>
        <w:t>第四条</w:t>
      </w:r>
      <w:r>
        <w:tab/>
      </w:r>
      <w:r>
        <w:t>监理范围和监理工作内容</w:t>
      </w:r>
      <w:r>
        <w:rPr>
          <w:spacing w:val="-34"/>
        </w:rPr>
        <w:t>：</w:t>
      </w:r>
      <w:r>
        <w:rPr>
          <w:rFonts w:hint="eastAsia"/>
          <w:u w:val="single"/>
          <w:lang w:eastAsia="zh-CN"/>
        </w:rPr>
        <w:t>温岭市新河镇XH010201地块</w:t>
      </w:r>
      <w:r>
        <w:rPr>
          <w:u w:val="single"/>
        </w:rPr>
        <w:t>施工全过程及保修阶段的监理。质量标准：合格。</w:t>
      </w:r>
    </w:p>
    <w:p>
      <w:pPr>
        <w:pStyle w:val="11"/>
        <w:tabs>
          <w:tab w:val="left" w:pos="2266"/>
        </w:tabs>
        <w:spacing w:before="1" w:line="312" w:lineRule="auto"/>
        <w:ind w:left="826" w:right="991" w:firstLine="480"/>
      </w:pPr>
      <w:r>
        <w:t>第九条</w:t>
      </w:r>
      <w:r>
        <w:tab/>
      </w:r>
      <w:r>
        <w:t>外部条件包括</w:t>
      </w:r>
      <w:r>
        <w:rPr>
          <w:spacing w:val="-17"/>
        </w:rPr>
        <w:t>：</w:t>
      </w:r>
      <w:r>
        <w:rPr>
          <w:u w:val="single"/>
        </w:rPr>
        <w:t>委托人应协调与本工程有关的外部事件</w:t>
      </w:r>
      <w:r>
        <w:rPr>
          <w:spacing w:val="-17"/>
          <w:u w:val="single"/>
        </w:rPr>
        <w:t>，</w:t>
      </w:r>
      <w:r>
        <w:rPr>
          <w:u w:val="single"/>
        </w:rPr>
        <w:t>委托人应向设</w:t>
      </w:r>
      <w:r>
        <w:rPr>
          <w:spacing w:val="-137"/>
          <w:u w:val="single"/>
        </w:rPr>
        <w:t>计</w:t>
      </w:r>
      <w:r>
        <w:rPr>
          <w:u w:val="single"/>
        </w:rPr>
        <w:t>单位</w:t>
      </w:r>
      <w:r>
        <w:rPr>
          <w:spacing w:val="-51"/>
          <w:u w:val="single"/>
        </w:rPr>
        <w:t>、</w:t>
      </w:r>
      <w:r>
        <w:rPr>
          <w:u w:val="single"/>
        </w:rPr>
        <w:t>施工单位通报监理单位人员</w:t>
      </w:r>
      <w:r>
        <w:rPr>
          <w:spacing w:val="-53"/>
          <w:u w:val="single"/>
        </w:rPr>
        <w:t>，</w:t>
      </w:r>
      <w:r>
        <w:rPr>
          <w:u w:val="single"/>
        </w:rPr>
        <w:t>明确监理权限</w:t>
      </w:r>
      <w:r>
        <w:rPr>
          <w:spacing w:val="-51"/>
          <w:u w:val="single"/>
        </w:rPr>
        <w:t>，</w:t>
      </w:r>
      <w:r>
        <w:rPr>
          <w:u w:val="single"/>
        </w:rPr>
        <w:t>任命一位代表和监理机构联系，</w:t>
      </w:r>
      <w:r>
        <w:rPr>
          <w:spacing w:val="-16"/>
          <w:u w:val="single"/>
        </w:rPr>
        <w:t>将</w:t>
      </w:r>
      <w:r>
        <w:rPr>
          <w:u w:val="single"/>
        </w:rPr>
        <w:t>授予监理单位的权力及时通知第三方。</w:t>
      </w:r>
    </w:p>
    <w:p>
      <w:pPr>
        <w:pStyle w:val="11"/>
        <w:tabs>
          <w:tab w:val="left" w:pos="2266"/>
        </w:tabs>
        <w:spacing w:before="1" w:line="312" w:lineRule="auto"/>
        <w:ind w:left="826" w:right="1111" w:firstLine="480"/>
      </w:pPr>
      <w:r>
        <w:t>第十条</w:t>
      </w:r>
      <w:r>
        <w:tab/>
      </w:r>
      <w:r>
        <w:t>委托人应提供的工程资料及提供时间</w:t>
      </w:r>
      <w:r>
        <w:rPr>
          <w:spacing w:val="-34"/>
        </w:rPr>
        <w:t>：</w:t>
      </w:r>
      <w:r>
        <w:rPr>
          <w:u w:val="single"/>
        </w:rPr>
        <w:t>合同签订后提供全套施工图纸</w:t>
      </w:r>
      <w:r>
        <w:rPr>
          <w:spacing w:val="-17"/>
          <w:u w:val="single"/>
        </w:rPr>
        <w:t>及</w:t>
      </w:r>
      <w:r>
        <w:rPr>
          <w:spacing w:val="-220"/>
          <w:u w:val="single"/>
        </w:rPr>
        <w:t>地</w:t>
      </w:r>
      <w:r>
        <w:rPr>
          <w:u w:val="single"/>
        </w:rPr>
        <w:t>质资料，在使用前十天内提供甲供材料清单及技术数据。</w:t>
      </w:r>
    </w:p>
    <w:p>
      <w:pPr>
        <w:pStyle w:val="11"/>
        <w:tabs>
          <w:tab w:val="left" w:pos="2544"/>
        </w:tabs>
        <w:spacing w:line="312" w:lineRule="auto"/>
        <w:ind w:left="826" w:right="1111" w:firstLine="492"/>
      </w:pPr>
      <w:r>
        <w:rPr>
          <w:spacing w:val="4"/>
        </w:rPr>
        <w:t>第</w:t>
      </w:r>
      <w:r>
        <w:rPr>
          <w:spacing w:val="7"/>
        </w:rPr>
        <w:t>十</w:t>
      </w:r>
      <w:r>
        <w:rPr>
          <w:spacing w:val="4"/>
        </w:rPr>
        <w:t>一</w:t>
      </w:r>
      <w:r>
        <w:t>条</w:t>
      </w:r>
      <w:r>
        <w:tab/>
      </w:r>
      <w:r>
        <w:rPr>
          <w:spacing w:val="4"/>
        </w:rPr>
        <w:t>委</w:t>
      </w:r>
      <w:r>
        <w:rPr>
          <w:spacing w:val="7"/>
        </w:rPr>
        <w:t>托</w:t>
      </w:r>
      <w:r>
        <w:rPr>
          <w:spacing w:val="4"/>
        </w:rPr>
        <w:t>人应</w:t>
      </w:r>
      <w:r>
        <w:rPr>
          <w:spacing w:val="9"/>
        </w:rPr>
        <w:t>在</w:t>
      </w:r>
      <w:r>
        <w:rPr>
          <w:spacing w:val="4"/>
          <w:u w:val="single"/>
        </w:rPr>
        <w:t>_五</w:t>
      </w:r>
      <w:r>
        <w:rPr>
          <w:spacing w:val="7"/>
          <w:u w:val="single"/>
        </w:rPr>
        <w:t>_</w:t>
      </w:r>
      <w:r>
        <w:rPr>
          <w:spacing w:val="4"/>
        </w:rPr>
        <w:t>天</w:t>
      </w:r>
      <w:r>
        <w:rPr>
          <w:spacing w:val="7"/>
        </w:rPr>
        <w:t>内</w:t>
      </w:r>
      <w:r>
        <w:rPr>
          <w:spacing w:val="4"/>
        </w:rPr>
        <w:t>对监</w:t>
      </w:r>
      <w:r>
        <w:rPr>
          <w:spacing w:val="7"/>
        </w:rPr>
        <w:t>理</w:t>
      </w:r>
      <w:r>
        <w:rPr>
          <w:spacing w:val="4"/>
        </w:rPr>
        <w:t>人</w:t>
      </w:r>
      <w:r>
        <w:rPr>
          <w:spacing w:val="7"/>
        </w:rPr>
        <w:t>书</w:t>
      </w:r>
      <w:r>
        <w:rPr>
          <w:spacing w:val="4"/>
        </w:rPr>
        <w:t>面提</w:t>
      </w:r>
      <w:r>
        <w:rPr>
          <w:spacing w:val="7"/>
        </w:rPr>
        <w:t>交</w:t>
      </w:r>
      <w:r>
        <w:rPr>
          <w:spacing w:val="4"/>
        </w:rPr>
        <w:t>并要</w:t>
      </w:r>
      <w:r>
        <w:rPr>
          <w:spacing w:val="7"/>
        </w:rPr>
        <w:t>求</w:t>
      </w:r>
      <w:r>
        <w:rPr>
          <w:spacing w:val="4"/>
        </w:rPr>
        <w:t>作</w:t>
      </w:r>
      <w:r>
        <w:rPr>
          <w:spacing w:val="7"/>
        </w:rPr>
        <w:t>出</w:t>
      </w:r>
      <w:r>
        <w:rPr>
          <w:spacing w:val="4"/>
        </w:rPr>
        <w:t>决定</w:t>
      </w:r>
      <w:r>
        <w:rPr>
          <w:spacing w:val="7"/>
        </w:rPr>
        <w:t>的</w:t>
      </w:r>
      <w:r>
        <w:rPr>
          <w:spacing w:val="4"/>
        </w:rPr>
        <w:t>事宜</w:t>
      </w:r>
      <w:r>
        <w:rPr>
          <w:spacing w:val="7"/>
        </w:rPr>
        <w:t>作</w:t>
      </w:r>
      <w:r>
        <w:t>出书面答复。</w:t>
      </w:r>
    </w:p>
    <w:p>
      <w:pPr>
        <w:pStyle w:val="11"/>
        <w:tabs>
          <w:tab w:val="left" w:pos="2506"/>
          <w:tab w:val="left" w:pos="6526"/>
          <w:tab w:val="left" w:pos="6886"/>
        </w:tabs>
        <w:spacing w:line="312" w:lineRule="auto"/>
        <w:ind w:left="2506" w:right="3897" w:hanging="1200"/>
        <w:rPr>
          <w:rFonts w:ascii="Times New Roman" w:eastAsia="Times New Roman"/>
        </w:rPr>
      </w:pPr>
      <w:r>
        <w:t>第十二条</w:t>
      </w:r>
      <w:r>
        <w:tab/>
      </w:r>
      <w:r>
        <w:t>委托人的常驻代表为:</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监理人总监为：</w:t>
      </w:r>
      <w:r>
        <w:rPr>
          <w:rFonts w:ascii="Times New Roman" w:eastAsia="Times New Roman"/>
          <w:u w:val="single"/>
        </w:rPr>
        <w:t xml:space="preserve"> </w:t>
      </w:r>
      <w:r>
        <w:rPr>
          <w:rFonts w:ascii="Times New Roman" w:eastAsia="Times New Roman"/>
          <w:u w:val="single"/>
        </w:rPr>
        <w:tab/>
      </w:r>
    </w:p>
    <w:p>
      <w:pPr>
        <w:pStyle w:val="11"/>
        <w:tabs>
          <w:tab w:val="left" w:pos="2506"/>
          <w:tab w:val="left" w:pos="6706"/>
          <w:tab w:val="left" w:pos="6946"/>
          <w:tab w:val="left" w:pos="7546"/>
          <w:tab w:val="left" w:pos="7666"/>
        </w:tabs>
        <w:spacing w:before="16" w:line="328" w:lineRule="auto"/>
        <w:ind w:left="1306" w:right="2877"/>
      </w:pPr>
      <w:r>
        <w:t>第十五条</w:t>
      </w:r>
      <w:r>
        <w:tab/>
      </w:r>
      <w:r>
        <w:t>委托人免费向监理机构提供如下设施：</w:t>
      </w:r>
      <w:r>
        <w:rPr>
          <w:u w:val="single"/>
        </w:rPr>
        <w:t xml:space="preserve"> </w:t>
      </w:r>
      <w:r>
        <w:rPr>
          <w:u w:val="single"/>
        </w:rPr>
        <w:tab/>
      </w:r>
      <w:r>
        <w:rPr>
          <w:u w:val="single"/>
        </w:rPr>
        <w:tab/>
      </w:r>
      <w:r>
        <w:rPr>
          <w:u w:val="single"/>
        </w:rPr>
        <w:t>无</w:t>
      </w:r>
      <w:r>
        <w:rPr>
          <w:u w:val="single"/>
        </w:rPr>
        <w:tab/>
      </w:r>
      <w:r>
        <w:rPr>
          <w:u w:val="single"/>
        </w:rPr>
        <w:tab/>
      </w:r>
      <w:r>
        <w:rPr>
          <w:spacing w:val="-17"/>
          <w:u w:val="single"/>
        </w:rPr>
        <w:t>。</w:t>
      </w:r>
      <w:r>
        <w:t>监理人自备的、委托人给予补偿的设施如下：</w:t>
      </w:r>
      <w:r>
        <w:rPr>
          <w:u w:val="single"/>
        </w:rPr>
        <w:t xml:space="preserve"> </w:t>
      </w:r>
      <w:r>
        <w:rPr>
          <w:u w:val="single"/>
        </w:rPr>
        <w:tab/>
      </w:r>
      <w:r>
        <w:rPr>
          <w:u w:val="single"/>
        </w:rPr>
        <w:t>无</w:t>
      </w:r>
      <w:r>
        <w:rPr>
          <w:u w:val="single"/>
        </w:rPr>
        <w:tab/>
      </w:r>
      <w:r>
        <w:rPr>
          <w:u w:val="single"/>
        </w:rPr>
        <w:tab/>
      </w:r>
      <w:r>
        <w:rPr>
          <w:u w:val="single"/>
        </w:rPr>
        <w:t>。</w:t>
      </w:r>
    </w:p>
    <w:p>
      <w:pPr>
        <w:pStyle w:val="11"/>
        <w:tabs>
          <w:tab w:val="left" w:pos="2506"/>
        </w:tabs>
        <w:spacing w:line="291" w:lineRule="exact"/>
        <w:ind w:left="1306"/>
      </w:pPr>
      <w:r>
        <w:t>第十六条</w:t>
      </w:r>
      <w:r>
        <w:tab/>
      </w:r>
      <w:r>
        <w:t>在监理期间</w:t>
      </w:r>
      <w:r>
        <w:rPr>
          <w:spacing w:val="-34"/>
        </w:rPr>
        <w:t>，</w:t>
      </w:r>
      <w:r>
        <w:t>委托人任命一位熟悉建设项目工程情况常驻代表负责与</w:t>
      </w:r>
    </w:p>
    <w:p>
      <w:pPr>
        <w:pStyle w:val="11"/>
        <w:spacing w:before="91"/>
        <w:ind w:left="826"/>
      </w:pPr>
      <w:r>
        <w:t>监理人联系，委托人不再向监理人免费提供其它职员。</w:t>
      </w:r>
    </w:p>
    <w:p>
      <w:pPr>
        <w:pStyle w:val="11"/>
        <w:tabs>
          <w:tab w:val="left" w:pos="2746"/>
        </w:tabs>
        <w:spacing w:before="110" w:line="328" w:lineRule="auto"/>
        <w:ind w:left="826" w:right="1111" w:firstLine="480"/>
      </w:pPr>
      <w:r>
        <w:t>第二十六条</w:t>
      </w:r>
      <w:r>
        <w:tab/>
      </w:r>
      <w:r>
        <w:t>监理人在责任期内如果失职</w:t>
      </w:r>
      <w:r>
        <w:rPr>
          <w:spacing w:val="-17"/>
        </w:rPr>
        <w:t>，</w:t>
      </w:r>
      <w:r>
        <w:t>除了按有关规定承担责任外</w:t>
      </w:r>
      <w:r>
        <w:rPr>
          <w:spacing w:val="-17"/>
        </w:rPr>
        <w:t>，</w:t>
      </w:r>
      <w:r>
        <w:t>同意</w:t>
      </w:r>
      <w:r>
        <w:rPr>
          <w:spacing w:val="-17"/>
        </w:rPr>
        <w:t>按</w:t>
      </w:r>
      <w:r>
        <w:t>以下办法承担责任，赔偿损失</w:t>
      </w:r>
      <w:r>
        <w:rPr>
          <w:rFonts w:ascii="Times New Roman" w:eastAsia="Times New Roman"/>
        </w:rPr>
        <w:t>[</w:t>
      </w:r>
      <w:r>
        <w:t>累计赔偿额不超过监理报酬总数</w:t>
      </w:r>
      <w:r>
        <w:rPr>
          <w:rFonts w:ascii="Times New Roman" w:eastAsia="Times New Roman"/>
        </w:rPr>
        <w:t>]</w:t>
      </w:r>
      <w:r>
        <w:t>：</w:t>
      </w:r>
    </w:p>
    <w:p>
      <w:pPr>
        <w:pStyle w:val="11"/>
        <w:spacing w:line="305" w:lineRule="exact"/>
        <w:ind w:left="1397"/>
        <w:rPr>
          <w:rFonts w:ascii="Times New Roman" w:hAnsi="Times New Roman" w:eastAsia="Times New Roman"/>
          <w:b/>
        </w:rPr>
      </w:pPr>
      <w:r>
        <w:t>赔偿金</w:t>
      </w:r>
      <w:r>
        <w:rPr>
          <w:rFonts w:ascii="Times New Roman" w:hAnsi="Times New Roman" w:eastAsia="Times New Roman"/>
        </w:rPr>
        <w:t>=</w:t>
      </w:r>
      <w:r>
        <w:t>直接经济损失×</w:t>
      </w:r>
      <w:r>
        <w:rPr>
          <w:rFonts w:ascii="Times New Roman" w:hAnsi="Times New Roman" w:eastAsia="Times New Roman"/>
          <w:b/>
        </w:rPr>
        <w:t>2%</w:t>
      </w:r>
    </w:p>
    <w:p>
      <w:pPr>
        <w:pStyle w:val="11"/>
        <w:tabs>
          <w:tab w:val="left" w:pos="2266"/>
        </w:tabs>
        <w:spacing w:before="96"/>
        <w:ind w:left="826"/>
      </w:pPr>
      <w:r>
        <w:t>第三十九条</w:t>
      </w:r>
      <w:r>
        <w:tab/>
      </w:r>
      <w:r>
        <w:t>委托人同意按以下的支付方式支付监理人的报酬：</w:t>
      </w:r>
    </w:p>
    <w:p>
      <w:pPr>
        <w:pStyle w:val="11"/>
        <w:spacing w:before="93"/>
        <w:ind w:left="1306"/>
        <w:jc w:val="both"/>
      </w:pPr>
      <w:r>
        <w:rPr>
          <w:rFonts w:ascii="Times New Roman" w:eastAsia="Times New Roman"/>
        </w:rPr>
        <w:t>1</w:t>
      </w:r>
      <w:r>
        <w:t>、按照监理范围内的十几工程结算价乘以中表示承诺的费率（</w:t>
      </w:r>
      <w:r>
        <w:rPr>
          <w:spacing w:val="119"/>
        </w:rPr>
        <w:t xml:space="preserve"> </w:t>
      </w:r>
      <w:r>
        <w:rPr>
          <w:rFonts w:ascii="Times New Roman" w:eastAsia="Times New Roman"/>
        </w:rPr>
        <w:t>%</w:t>
      </w:r>
      <w:r>
        <w:t>）计取。</w:t>
      </w:r>
    </w:p>
    <w:p>
      <w:pPr>
        <w:pStyle w:val="11"/>
        <w:spacing w:before="139" w:line="360" w:lineRule="auto"/>
        <w:ind w:left="826" w:right="1111" w:firstLine="420"/>
        <w:jc w:val="both"/>
      </w:pPr>
      <w:r>
        <w:rPr>
          <w:rFonts w:ascii="Times New Roman" w:eastAsia="Times New Roman"/>
        </w:rPr>
        <w:t>2</w:t>
      </w:r>
      <w:r>
        <w:t>、监理报酬支付方式：</w:t>
      </w:r>
      <w:r>
        <w:rPr>
          <w:u w:val="single"/>
        </w:rPr>
        <w:t>（</w:t>
      </w:r>
      <w:r>
        <w:rPr>
          <w:rFonts w:ascii="Times New Roman" w:eastAsia="Times New Roman"/>
          <w:u w:val="single"/>
        </w:rPr>
        <w:t>1</w:t>
      </w:r>
      <w:r>
        <w:rPr>
          <w:u w:val="single"/>
        </w:rPr>
        <w:t>）</w:t>
      </w:r>
      <w:r>
        <w:rPr>
          <w:spacing w:val="-10"/>
          <w:u w:val="single"/>
        </w:rPr>
        <w:t xml:space="preserve">工程完成 </w:t>
      </w:r>
      <w:r>
        <w:rPr>
          <w:rFonts w:ascii="Times New Roman" w:eastAsia="Times New Roman"/>
          <w:u w:val="single"/>
        </w:rPr>
        <w:t>60%</w:t>
      </w:r>
      <w:r>
        <w:rPr>
          <w:spacing w:val="-6"/>
          <w:u w:val="single"/>
        </w:rPr>
        <w:t xml:space="preserve">经委托人确认后 </w:t>
      </w:r>
      <w:r>
        <w:rPr>
          <w:rFonts w:ascii="Times New Roman" w:eastAsia="Times New Roman"/>
          <w:u w:val="single"/>
        </w:rPr>
        <w:t xml:space="preserve">10 </w:t>
      </w:r>
      <w:r>
        <w:rPr>
          <w:u w:val="single"/>
        </w:rPr>
        <w:t>天内付至累计已</w:t>
      </w:r>
      <w:r>
        <w:rPr>
          <w:spacing w:val="-240"/>
          <w:u w:val="single"/>
        </w:rPr>
        <w:t>完</w:t>
      </w:r>
      <w:r>
        <w:rPr>
          <w:spacing w:val="-5"/>
          <w:u w:val="single"/>
        </w:rPr>
        <w:t xml:space="preserve">成工程量价款监理酬金的 </w:t>
      </w:r>
      <w:r>
        <w:rPr>
          <w:rFonts w:ascii="Times New Roman" w:eastAsia="Times New Roman"/>
          <w:spacing w:val="-17"/>
          <w:u w:val="single"/>
        </w:rPr>
        <w:t>50%</w:t>
      </w:r>
      <w:r>
        <w:rPr>
          <w:spacing w:val="-17"/>
          <w:u w:val="single"/>
        </w:rPr>
        <w:t>；（</w:t>
      </w:r>
      <w:r>
        <w:rPr>
          <w:rFonts w:ascii="Times New Roman" w:eastAsia="Times New Roman"/>
          <w:spacing w:val="-17"/>
          <w:u w:val="single"/>
        </w:rPr>
        <w:t>2</w:t>
      </w:r>
      <w:r>
        <w:rPr>
          <w:spacing w:val="-17"/>
          <w:u w:val="single"/>
        </w:rPr>
        <w:t>）</w:t>
      </w:r>
      <w:r>
        <w:rPr>
          <w:spacing w:val="-6"/>
          <w:u w:val="single"/>
        </w:rPr>
        <w:t xml:space="preserve">竣工结算并经审定后 </w:t>
      </w:r>
      <w:r>
        <w:rPr>
          <w:rFonts w:ascii="Times New Roman" w:eastAsia="Times New Roman"/>
          <w:u w:val="single"/>
        </w:rPr>
        <w:t xml:space="preserve">10 </w:t>
      </w:r>
      <w:r>
        <w:rPr>
          <w:spacing w:val="-2"/>
          <w:u w:val="single"/>
        </w:rPr>
        <w:t>天内付至总监理酬金的</w:t>
      </w:r>
      <w:r>
        <w:rPr>
          <w:rFonts w:ascii="Times New Roman" w:eastAsia="Times New Roman"/>
          <w:u w:val="single"/>
        </w:rPr>
        <w:t>9</w:t>
      </w:r>
      <w:r>
        <w:rPr>
          <w:rFonts w:hint="eastAsia" w:ascii="Times New Roman"/>
          <w:u w:val="single"/>
          <w:lang w:val="en-US" w:eastAsia="zh-CN"/>
        </w:rPr>
        <w:t>8</w:t>
      </w:r>
      <w:r>
        <w:rPr>
          <w:rFonts w:ascii="Times New Roman" w:eastAsia="Times New Roman"/>
          <w:u w:val="single"/>
        </w:rPr>
        <w:t>.5%</w:t>
      </w:r>
      <w:r>
        <w:rPr>
          <w:u w:val="single"/>
        </w:rPr>
        <w:t>；（</w:t>
      </w:r>
      <w:r>
        <w:rPr>
          <w:rFonts w:ascii="Times New Roman" w:eastAsia="Times New Roman"/>
          <w:u w:val="single"/>
        </w:rPr>
        <w:t>3</w:t>
      </w:r>
      <w:r>
        <w:rPr>
          <w:u w:val="single"/>
        </w:rPr>
        <w:t>）</w:t>
      </w:r>
      <w:r>
        <w:rPr>
          <w:spacing w:val="-11"/>
          <w:u w:val="single"/>
        </w:rPr>
        <w:t xml:space="preserve">保修期满后 </w:t>
      </w:r>
      <w:r>
        <w:rPr>
          <w:rFonts w:ascii="Times New Roman" w:eastAsia="Times New Roman"/>
          <w:u w:val="single"/>
        </w:rPr>
        <w:t xml:space="preserve">10  </w:t>
      </w:r>
      <w:r>
        <w:rPr>
          <w:u w:val="single"/>
        </w:rPr>
        <w:t>天内付清余款。</w:t>
      </w:r>
    </w:p>
    <w:p>
      <w:pPr>
        <w:pStyle w:val="11"/>
        <w:spacing w:line="360" w:lineRule="auto"/>
        <w:ind w:left="826" w:right="957" w:firstLine="420"/>
      </w:pPr>
      <w:r>
        <w:t>委托人同意按以下支付方式支付附加工作报酬：</w:t>
      </w:r>
      <w:r>
        <w:rPr>
          <w:spacing w:val="-7"/>
          <w:u w:val="single"/>
        </w:rPr>
        <w:t>如果非监理单位原因造成的工期延</w:t>
      </w:r>
      <w:r>
        <w:rPr>
          <w:spacing w:val="-5"/>
          <w:u w:val="single"/>
        </w:rPr>
        <w:t xml:space="preserve">长超过监理合同期限三个月以上的，则超过三个月以上部分按每月 </w:t>
      </w:r>
      <w:r>
        <w:rPr>
          <w:rFonts w:ascii="Times New Roman" w:eastAsia="Times New Roman"/>
          <w:u w:val="single"/>
        </w:rPr>
        <w:t xml:space="preserve">10000 </w:t>
      </w:r>
      <w:r>
        <w:rPr>
          <w:u w:val="single"/>
        </w:rPr>
        <w:t>元计取附加</w:t>
      </w:r>
      <w:r>
        <w:rPr>
          <w:spacing w:val="-10"/>
          <w:u w:val="single"/>
        </w:rPr>
        <w:t>工作酬金</w:t>
      </w:r>
      <w:r>
        <w:rPr>
          <w:u w:val="single"/>
        </w:rPr>
        <w:t>（</w:t>
      </w:r>
      <w:r>
        <w:rPr>
          <w:spacing w:val="-2"/>
          <w:u w:val="single"/>
        </w:rPr>
        <w:t>超过监理合同期限的工作酬金若在结算价中已计取的，不再累计计取</w:t>
      </w:r>
      <w:r>
        <w:rPr>
          <w:spacing w:val="-41"/>
          <w:u w:val="single"/>
        </w:rPr>
        <w:t>）</w:t>
      </w:r>
      <w:r>
        <w:rPr>
          <w:spacing w:val="-8"/>
          <w:u w:val="single"/>
        </w:rPr>
        <w:t>。如</w:t>
      </w:r>
      <w:r>
        <w:rPr>
          <w:spacing w:val="-3"/>
          <w:u w:val="single"/>
        </w:rPr>
        <w:t>不足半个月不计附加工作酬金，超过半个月的按一个月计取。如果监理单位原因造</w:t>
      </w:r>
    </w:p>
    <w:p>
      <w:pPr>
        <w:spacing w:after="0" w:line="360" w:lineRule="auto"/>
        <w:sectPr>
          <w:pgSz w:w="11910" w:h="16840"/>
          <w:pgMar w:top="1580" w:right="360" w:bottom="1300" w:left="760" w:header="0" w:footer="1109" w:gutter="0"/>
        </w:sectPr>
      </w:pPr>
    </w:p>
    <w:p>
      <w:pPr>
        <w:pStyle w:val="11"/>
        <w:rPr>
          <w:sz w:val="20"/>
        </w:rPr>
      </w:pPr>
    </w:p>
    <w:p>
      <w:pPr>
        <w:pStyle w:val="11"/>
        <w:spacing w:before="10"/>
        <w:rPr>
          <w:sz w:val="23"/>
        </w:rPr>
      </w:pPr>
    </w:p>
    <w:p>
      <w:pPr>
        <w:pStyle w:val="11"/>
        <w:spacing w:before="67" w:line="360" w:lineRule="auto"/>
        <w:ind w:left="826" w:right="1111"/>
      </w:pPr>
      <w:r>
        <w:rPr>
          <w:spacing w:val="-3"/>
          <w:u w:val="single"/>
        </w:rPr>
        <w:t>成工期延长超过监理合同期限三个月以上的，则超过三个月以上部分监理单位向委托</w:t>
      </w:r>
      <w:r>
        <w:rPr>
          <w:spacing w:val="-220"/>
          <w:u w:val="single"/>
        </w:rPr>
        <w:t>人</w:t>
      </w:r>
      <w:r>
        <w:rPr>
          <w:spacing w:val="-10"/>
          <w:u w:val="single"/>
        </w:rPr>
        <w:t xml:space="preserve">支付违约金 </w:t>
      </w:r>
      <w:r>
        <w:rPr>
          <w:rFonts w:ascii="Times New Roman" w:eastAsia="Times New Roman"/>
          <w:u w:val="single"/>
        </w:rPr>
        <w:t xml:space="preserve">10000 </w:t>
      </w:r>
      <w:r>
        <w:rPr>
          <w:u w:val="single"/>
        </w:rPr>
        <w:t>元</w:t>
      </w:r>
      <w:r>
        <w:rPr>
          <w:rFonts w:ascii="Times New Roman" w:eastAsia="Times New Roman"/>
          <w:u w:val="single"/>
        </w:rPr>
        <w:t>/</w:t>
      </w:r>
      <w:r>
        <w:rPr>
          <w:u w:val="single"/>
        </w:rPr>
        <w:t>月。</w:t>
      </w:r>
    </w:p>
    <w:p>
      <w:pPr>
        <w:pStyle w:val="11"/>
        <w:spacing w:line="259" w:lineRule="exact"/>
        <w:ind w:left="1306"/>
      </w:pPr>
      <w:r>
        <w:rPr>
          <w:rFonts w:ascii="Times New Roman" w:eastAsia="Times New Roman"/>
        </w:rPr>
        <w:t>2</w:t>
      </w:r>
      <w:r>
        <w:t>、其它费用一概不予计取。</w:t>
      </w:r>
    </w:p>
    <w:p>
      <w:pPr>
        <w:pStyle w:val="11"/>
        <w:tabs>
          <w:tab w:val="left" w:pos="2746"/>
        </w:tabs>
        <w:spacing w:before="90"/>
        <w:ind w:left="1306"/>
      </w:pPr>
      <w:r>
        <w:t>第四十一条</w:t>
      </w:r>
      <w:r>
        <w:tab/>
      </w:r>
      <w:r>
        <w:t>双方同意用</w:t>
      </w:r>
      <w:r>
        <w:rPr>
          <w:spacing w:val="-1"/>
          <w:u w:val="single"/>
        </w:rPr>
        <w:t xml:space="preserve"> </w:t>
      </w:r>
      <w:r>
        <w:rPr>
          <w:u w:val="single"/>
        </w:rPr>
        <w:t>人民币</w:t>
      </w:r>
      <w:r>
        <w:rPr>
          <w:spacing w:val="-1"/>
          <w:u w:val="single"/>
        </w:rPr>
        <w:t xml:space="preserve"> </w:t>
      </w:r>
      <w:r>
        <w:t>支付报酬。</w:t>
      </w:r>
    </w:p>
    <w:p>
      <w:pPr>
        <w:pStyle w:val="11"/>
        <w:tabs>
          <w:tab w:val="left" w:pos="2746"/>
        </w:tabs>
        <w:spacing w:before="111" w:line="328" w:lineRule="auto"/>
        <w:ind w:left="826" w:right="1111" w:firstLine="480"/>
      </w:pPr>
      <w:r>
        <w:t>第四十九条</w:t>
      </w:r>
      <w:r>
        <w:tab/>
      </w:r>
      <w:r>
        <w:t>本合同在履行过程中发生争议时</w:t>
      </w:r>
      <w:r>
        <w:rPr>
          <w:spacing w:val="-17"/>
        </w:rPr>
        <w:t>，</w:t>
      </w:r>
      <w:r>
        <w:t>当事人双方应及时协商解决</w:t>
      </w:r>
      <w:r>
        <w:rPr>
          <w:spacing w:val="-17"/>
        </w:rPr>
        <w:t>。协</w:t>
      </w:r>
      <w:r>
        <w:t>商不成时，双方同意向工程所在地人民法院提起诉讼。</w:t>
      </w:r>
    </w:p>
    <w:p>
      <w:pPr>
        <w:pStyle w:val="11"/>
        <w:spacing w:line="305" w:lineRule="exact"/>
        <w:ind w:left="1426"/>
      </w:pPr>
      <w:r>
        <w:t>附加协议条款：</w:t>
      </w:r>
    </w:p>
    <w:p>
      <w:pPr>
        <w:pStyle w:val="11"/>
        <w:spacing w:before="112" w:line="328" w:lineRule="auto"/>
        <w:ind w:left="826" w:right="991" w:firstLine="441"/>
      </w:pPr>
      <w:r>
        <w:rPr>
          <w:rFonts w:ascii="Times New Roman" w:eastAsia="Times New Roman"/>
          <w:u w:val="single"/>
        </w:rPr>
        <w:t>1</w:t>
      </w:r>
      <w:r>
        <w:rPr>
          <w:spacing w:val="-18"/>
          <w:u w:val="single"/>
        </w:rPr>
        <w:t>、监理人在合同签订后不得放弃承包、不得转包及擅自更换总监及其它监理人员，</w:t>
      </w:r>
      <w:r>
        <w:rPr>
          <w:spacing w:val="-220"/>
          <w:u w:val="single"/>
        </w:rPr>
        <w:t>否</w:t>
      </w:r>
      <w:r>
        <w:rPr>
          <w:spacing w:val="-3"/>
          <w:u w:val="single"/>
        </w:rPr>
        <w:t>则委托人有权终止合同，履约保证金不予返还，由此给委托人造成的经济损失由监理人赔偿。</w:t>
      </w:r>
    </w:p>
    <w:p>
      <w:pPr>
        <w:pStyle w:val="11"/>
        <w:spacing w:line="328" w:lineRule="auto"/>
        <w:ind w:left="826" w:right="1111" w:firstLine="441"/>
        <w:jc w:val="both"/>
      </w:pPr>
      <w:r>
        <w:rPr>
          <w:u w:val="single"/>
        </w:rPr>
        <w:t>2</w:t>
      </w:r>
      <w:r>
        <w:rPr>
          <w:spacing w:val="-11"/>
          <w:u w:val="single"/>
        </w:rPr>
        <w:t>、除因管理原因发生重大质量安全事故不适合再任，因生病住院、终止劳动合同</w:t>
      </w:r>
      <w:r>
        <w:rPr>
          <w:spacing w:val="-220"/>
          <w:u w:val="single"/>
        </w:rPr>
        <w:t>关</w:t>
      </w:r>
      <w:r>
        <w:rPr>
          <w:spacing w:val="-10"/>
          <w:u w:val="single"/>
        </w:rPr>
        <w:t>系</w:t>
      </w:r>
      <w:r>
        <w:rPr>
          <w:spacing w:val="-3"/>
          <w:u w:val="single"/>
        </w:rPr>
        <w:t>（</w:t>
      </w:r>
      <w:r>
        <w:rPr>
          <w:u w:val="single"/>
        </w:rPr>
        <w:t>需提供相关部门或单位的证明材料</w:t>
      </w:r>
      <w:r>
        <w:rPr>
          <w:spacing w:val="-12"/>
          <w:u w:val="single"/>
        </w:rPr>
        <w:t>）</w:t>
      </w:r>
      <w:r>
        <w:rPr>
          <w:spacing w:val="-1"/>
          <w:u w:val="single"/>
        </w:rPr>
        <w:t>等无法继续履行合同责任和义务，被责令停</w:t>
      </w:r>
      <w:r>
        <w:rPr>
          <w:spacing w:val="-7"/>
          <w:u w:val="single"/>
        </w:rPr>
        <w:t>止执业、羁押或判刑外，项目总监不得更换。符合规定确需更换的，应征得委托人同</w:t>
      </w:r>
      <w:r>
        <w:rPr>
          <w:spacing w:val="-6"/>
          <w:u w:val="single"/>
        </w:rPr>
        <w:t>意，并经有关行业行政主管部门备案，且更换后的人员不得低于原投标承诺人员所具有的资格和业绩条件。</w:t>
      </w:r>
    </w:p>
    <w:p>
      <w:pPr>
        <w:pStyle w:val="11"/>
        <w:spacing w:before="38" w:line="374" w:lineRule="auto"/>
        <w:ind w:left="826" w:right="991" w:firstLine="480"/>
      </w:pPr>
      <w:r>
        <w:rPr>
          <w:rFonts w:ascii="Times New Roman" w:eastAsia="Times New Roman"/>
        </w:rPr>
        <w:t>3</w:t>
      </w:r>
      <w:r>
        <w:t>、监理人员到位率、出勤率：</w:t>
      </w:r>
      <w:r>
        <w:rPr>
          <w:color w:val="FF0000"/>
          <w:spacing w:val="-7"/>
          <w:u w:val="single" w:color="FF0000"/>
        </w:rPr>
        <w:t xml:space="preserve">总监到位率应达到 </w:t>
      </w:r>
      <w:r>
        <w:rPr>
          <w:rFonts w:ascii="Times New Roman" w:eastAsia="Times New Roman"/>
          <w:color w:val="FF0000"/>
          <w:u w:val="single" w:color="FF0000"/>
        </w:rPr>
        <w:t>50%</w:t>
      </w:r>
      <w:r>
        <w:rPr>
          <w:color w:val="FF0000"/>
          <w:spacing w:val="-6"/>
          <w:u w:val="single" w:color="FF0000"/>
        </w:rPr>
        <w:t>以上，其它监理人员的出勤</w:t>
      </w:r>
      <w:r>
        <w:rPr>
          <w:color w:val="FF0000"/>
          <w:spacing w:val="-13"/>
          <w:u w:val="single" w:color="FF0000"/>
        </w:rPr>
        <w:t xml:space="preserve">率应达到 </w:t>
      </w:r>
      <w:r>
        <w:rPr>
          <w:rFonts w:ascii="Times New Roman" w:eastAsia="Times New Roman"/>
          <w:color w:val="FF0000"/>
          <w:u w:val="single" w:color="FF0000"/>
        </w:rPr>
        <w:t>100%</w:t>
      </w:r>
      <w:r>
        <w:rPr>
          <w:color w:val="FF0000"/>
          <w:u w:val="single" w:color="FF0000"/>
        </w:rPr>
        <w:t>（均以委托人考勤记录为准），</w:t>
      </w:r>
      <w:r>
        <w:rPr>
          <w:color w:val="FF0000"/>
          <w:spacing w:val="-7"/>
          <w:u w:val="single" w:color="FF0000"/>
        </w:rPr>
        <w:t xml:space="preserve">否则扣除合同价的 </w:t>
      </w:r>
      <w:r>
        <w:rPr>
          <w:rFonts w:ascii="Times New Roman" w:eastAsia="Times New Roman"/>
          <w:color w:val="FF0000"/>
          <w:u w:val="single" w:color="FF0000"/>
        </w:rPr>
        <w:t>50%</w:t>
      </w:r>
      <w:r>
        <w:rPr>
          <w:color w:val="FF0000"/>
          <w:u w:val="single" w:color="FF0000"/>
        </w:rPr>
        <w:t>；如达不到约</w:t>
      </w:r>
      <w:r>
        <w:rPr>
          <w:color w:val="FF0000"/>
          <w:spacing w:val="-10"/>
          <w:u w:val="single" w:color="FF0000"/>
        </w:rPr>
        <w:t xml:space="preserve">定到位率的 </w:t>
      </w:r>
      <w:r>
        <w:rPr>
          <w:rFonts w:ascii="Times New Roman" w:eastAsia="Times New Roman"/>
          <w:color w:val="FF0000"/>
          <w:spacing w:val="-7"/>
          <w:u w:val="single" w:color="FF0000"/>
        </w:rPr>
        <w:t>70%</w:t>
      </w:r>
      <w:r>
        <w:rPr>
          <w:color w:val="FF0000"/>
          <w:spacing w:val="-10"/>
          <w:u w:val="single" w:color="FF0000"/>
        </w:rPr>
        <w:t xml:space="preserve">，则扣除合同价的 </w:t>
      </w:r>
      <w:r>
        <w:rPr>
          <w:rFonts w:ascii="Times New Roman" w:eastAsia="Times New Roman"/>
          <w:color w:val="FF0000"/>
          <w:u w:val="single" w:color="FF0000"/>
        </w:rPr>
        <w:t>80%</w:t>
      </w:r>
      <w:r>
        <w:rPr>
          <w:color w:val="FF0000"/>
          <w:spacing w:val="-7"/>
          <w:u w:val="single" w:color="FF0000"/>
        </w:rPr>
        <w:t>。如监理人员工作不称职，委托人有权要求更</w:t>
      </w:r>
      <w:r>
        <w:rPr>
          <w:color w:val="FF0000"/>
          <w:spacing w:val="-13"/>
          <w:u w:val="single" w:color="FF0000"/>
        </w:rPr>
        <w:t>换相应的监理人员</w:t>
      </w:r>
      <w:r>
        <w:rPr>
          <w:color w:val="FF0000"/>
          <w:u w:val="single" w:color="FF0000"/>
        </w:rPr>
        <w:t>（且资格条件不得低于原人员</w:t>
      </w:r>
      <w:r>
        <w:rPr>
          <w:color w:val="FF0000"/>
          <w:spacing w:val="-52"/>
          <w:u w:val="single" w:color="FF0000"/>
        </w:rPr>
        <w:t>）</w:t>
      </w:r>
      <w:r>
        <w:rPr>
          <w:color w:val="FF0000"/>
          <w:spacing w:val="-9"/>
          <w:u w:val="single" w:color="FF0000"/>
        </w:rPr>
        <w:t>，对严重违约或监理人员到位率、出</w:t>
      </w:r>
      <w:r>
        <w:rPr>
          <w:color w:val="FF0000"/>
          <w:spacing w:val="-6"/>
          <w:u w:val="single" w:color="FF0000"/>
        </w:rPr>
        <w:t xml:space="preserve">勤率达不到约定到位率的 </w:t>
      </w:r>
      <w:r>
        <w:rPr>
          <w:rFonts w:ascii="Times New Roman" w:eastAsia="Times New Roman"/>
          <w:color w:val="FF0000"/>
          <w:u w:val="single" w:color="FF0000"/>
        </w:rPr>
        <w:t>50%</w:t>
      </w:r>
      <w:r>
        <w:rPr>
          <w:color w:val="FF0000"/>
          <w:spacing w:val="-7"/>
          <w:u w:val="single" w:color="FF0000"/>
        </w:rPr>
        <w:t>的监理人，委托人有权终止合同，履约保证金不予返还，由此造成的损失由监理人负责赔偿。</w:t>
      </w:r>
    </w:p>
    <w:p>
      <w:pPr>
        <w:pStyle w:val="11"/>
        <w:spacing w:line="261" w:lineRule="exact"/>
        <w:ind w:left="1306"/>
      </w:pPr>
      <w:r>
        <w:rPr>
          <w:rFonts w:ascii="Times New Roman" w:eastAsia="Times New Roman"/>
        </w:rPr>
        <w:t>4</w:t>
      </w:r>
      <w:r>
        <w:t>、监理人的项目监理人员在竣工验收前不得更换，有特殊情况确需更换的，需</w:t>
      </w:r>
    </w:p>
    <w:p>
      <w:pPr>
        <w:pStyle w:val="11"/>
        <w:spacing w:before="112"/>
        <w:ind w:left="826"/>
      </w:pPr>
      <w:r>
        <w:t>经委托人同意，并报建设行政主管部门备案。</w:t>
      </w:r>
    </w:p>
    <w:p>
      <w:pPr>
        <w:pStyle w:val="11"/>
        <w:spacing w:before="113" w:line="328" w:lineRule="auto"/>
        <w:ind w:left="826" w:right="1113" w:firstLine="480"/>
      </w:pPr>
      <w:r>
        <w:rPr>
          <w:rFonts w:ascii="Times New Roman" w:eastAsia="Times New Roman"/>
        </w:rPr>
        <w:t>5</w:t>
      </w:r>
      <w:r>
        <w:t xml:space="preserve">、监理人必需对本工程的现场工程量签证单、联系单及竣工图进行严格把关， 如发现签证与实际情况不符，则每发现一次对监理人处以监理合同价 </w:t>
      </w:r>
      <w:r>
        <w:rPr>
          <w:rFonts w:ascii="Times New Roman" w:eastAsia="Times New Roman"/>
          <w:color w:val="00AF50"/>
          <w:u w:val="single" w:color="00AF50"/>
        </w:rPr>
        <w:t>5%</w:t>
      </w:r>
      <w:r>
        <w:t>的违约金。</w:t>
      </w:r>
    </w:p>
    <w:p>
      <w:pPr>
        <w:pStyle w:val="11"/>
        <w:spacing w:line="288" w:lineRule="exact"/>
        <w:ind w:left="1306"/>
      </w:pPr>
      <w:r>
        <w:rPr>
          <w:rFonts w:ascii="Times New Roman" w:eastAsia="Times New Roman"/>
        </w:rPr>
        <w:t>6</w:t>
      </w:r>
      <w:r>
        <w:t>、本工程双方约定担保事项如下：</w:t>
      </w:r>
    </w:p>
    <w:p>
      <w:pPr>
        <w:pStyle w:val="18"/>
        <w:numPr>
          <w:ilvl w:val="0"/>
          <w:numId w:val="18"/>
        </w:numPr>
        <w:tabs>
          <w:tab w:val="left" w:pos="1908"/>
          <w:tab w:val="left" w:pos="2866"/>
        </w:tabs>
        <w:spacing w:before="93" w:after="0" w:line="312" w:lineRule="auto"/>
        <w:ind w:left="826" w:right="1003" w:firstLine="480"/>
        <w:jc w:val="left"/>
        <w:rPr>
          <w:sz w:val="24"/>
        </w:rPr>
      </w:pPr>
      <w:r>
        <w:rPr>
          <w:sz w:val="24"/>
        </w:rPr>
        <w:t>承包人向发包人提供履约担保</w:t>
      </w:r>
      <w:r>
        <w:rPr>
          <w:spacing w:val="-15"/>
          <w:sz w:val="24"/>
        </w:rPr>
        <w:t>，</w:t>
      </w:r>
      <w:r>
        <w:rPr>
          <w:sz w:val="24"/>
        </w:rPr>
        <w:t>担保方式为</w:t>
      </w:r>
      <w:r>
        <w:rPr>
          <w:spacing w:val="-17"/>
          <w:sz w:val="24"/>
        </w:rPr>
        <w:t>：</w:t>
      </w:r>
      <w:r>
        <w:rPr>
          <w:rFonts w:hint="eastAsia"/>
          <w:sz w:val="24"/>
          <w:u w:val="single"/>
        </w:rPr>
        <w:t>银行保函、保险公司保单、银行转账（或电汇）</w:t>
      </w:r>
      <w:r>
        <w:rPr>
          <w:sz w:val="24"/>
        </w:rPr>
        <w:t>金额：</w:t>
      </w:r>
      <w:r>
        <w:rPr>
          <w:sz w:val="24"/>
          <w:u w:val="single"/>
        </w:rPr>
        <w:t xml:space="preserve"> </w:t>
      </w:r>
      <w:r>
        <w:rPr>
          <w:sz w:val="24"/>
          <w:u w:val="single"/>
        </w:rPr>
        <w:tab/>
      </w:r>
      <w:r>
        <w:rPr>
          <w:sz w:val="24"/>
          <w:u w:val="single"/>
        </w:rPr>
        <w:t>。</w:t>
      </w:r>
    </w:p>
    <w:p>
      <w:pPr>
        <w:pStyle w:val="18"/>
        <w:numPr>
          <w:ilvl w:val="0"/>
          <w:numId w:val="18"/>
        </w:numPr>
        <w:tabs>
          <w:tab w:val="left" w:pos="1908"/>
        </w:tabs>
        <w:spacing w:before="17" w:after="0" w:line="240" w:lineRule="auto"/>
        <w:ind w:left="1907" w:right="0" w:hanging="602"/>
        <w:jc w:val="left"/>
        <w:rPr>
          <w:sz w:val="24"/>
        </w:rPr>
      </w:pPr>
      <w:r>
        <w:rPr>
          <w:sz w:val="24"/>
        </w:rPr>
        <w:t>双方约定的其他担保事项：无。</w:t>
      </w:r>
    </w:p>
    <w:p>
      <w:pPr>
        <w:spacing w:after="0" w:line="240" w:lineRule="auto"/>
        <w:jc w:val="left"/>
        <w:rPr>
          <w:sz w:val="24"/>
        </w:rPr>
        <w:sectPr>
          <w:pgSz w:w="11910" w:h="16840"/>
          <w:pgMar w:top="1580" w:right="360" w:bottom="1300" w:left="760" w:header="0" w:footer="1109" w:gutter="0"/>
        </w:sectPr>
      </w:pPr>
      <w:bookmarkStart w:id="6" w:name="_GoBack"/>
      <w:bookmarkEnd w:id="6"/>
    </w:p>
    <w:p>
      <w:pPr>
        <w:pStyle w:val="11"/>
        <w:rPr>
          <w:sz w:val="20"/>
        </w:rPr>
      </w:pPr>
    </w:p>
    <w:p>
      <w:pPr>
        <w:pStyle w:val="11"/>
        <w:spacing w:before="10"/>
        <w:rPr>
          <w:sz w:val="20"/>
        </w:rPr>
      </w:pPr>
    </w:p>
    <w:p>
      <w:pPr>
        <w:pStyle w:val="11"/>
        <w:spacing w:before="74" w:line="328" w:lineRule="auto"/>
        <w:ind w:left="826" w:right="1113" w:firstLine="480"/>
      </w:pPr>
      <w:r>
        <w:rPr>
          <w:rFonts w:ascii="Times New Roman" w:eastAsia="Times New Roman"/>
        </w:rPr>
        <w:t>7</w:t>
      </w:r>
      <w:r>
        <w:t>、监理人承诺的管理人员必须全部按投标承诺名单及时到位；监理所需的所有检测仪器和工具由监理人负责。</w:t>
      </w:r>
    </w:p>
    <w:p>
      <w:pPr>
        <w:spacing w:after="0" w:line="328" w:lineRule="auto"/>
        <w:sectPr>
          <w:pgSz w:w="11910" w:h="16840"/>
          <w:pgMar w:top="1580" w:right="360" w:bottom="1300" w:left="760" w:header="0" w:footer="1109" w:gutter="0"/>
        </w:sectPr>
      </w:pPr>
    </w:p>
    <w:p>
      <w:pPr>
        <w:pStyle w:val="11"/>
        <w:rPr>
          <w:sz w:val="20"/>
        </w:rPr>
      </w:pPr>
    </w:p>
    <w:p>
      <w:pPr>
        <w:pStyle w:val="11"/>
        <w:spacing w:before="4"/>
        <w:rPr>
          <w:sz w:val="17"/>
        </w:rPr>
      </w:pPr>
    </w:p>
    <w:p>
      <w:pPr>
        <w:pStyle w:val="8"/>
        <w:tabs>
          <w:tab w:val="left" w:pos="4920"/>
        </w:tabs>
        <w:ind w:left="3797"/>
      </w:pPr>
      <w:r>
        <w:t>第五章</w:t>
      </w:r>
      <w:r>
        <w:tab/>
      </w:r>
      <w:r>
        <w:t>投标文件格式</w:t>
      </w:r>
    </w:p>
    <w:p>
      <w:pPr>
        <w:pStyle w:val="11"/>
        <w:spacing w:before="42" w:line="273" w:lineRule="auto"/>
        <w:ind w:left="826" w:right="1202" w:firstLine="480"/>
      </w:pPr>
      <w:r>
        <w:rPr>
          <w:spacing w:val="-2"/>
        </w:rPr>
        <w:t>本工程的投标授权委托书</w:t>
      </w:r>
      <w:r>
        <w:t>（附件一</w:t>
      </w:r>
      <w:r>
        <w:rPr>
          <w:spacing w:val="-17"/>
        </w:rPr>
        <w:t>）</w:t>
      </w:r>
      <w:r>
        <w:rPr>
          <w:spacing w:val="-7"/>
        </w:rPr>
        <w:t>、资格标格式</w:t>
      </w:r>
      <w:r>
        <w:rPr>
          <w:spacing w:val="-3"/>
        </w:rPr>
        <w:t>（</w:t>
      </w:r>
      <w:r>
        <w:t>附件二</w:t>
      </w:r>
      <w:r>
        <w:rPr>
          <w:spacing w:val="-20"/>
        </w:rPr>
        <w:t>）</w:t>
      </w:r>
      <w:r>
        <w:rPr>
          <w:spacing w:val="-7"/>
        </w:rPr>
        <w:t>、商务标格式</w:t>
      </w:r>
      <w:r>
        <w:t>（</w:t>
      </w:r>
      <w:r>
        <w:rPr>
          <w:spacing w:val="-13"/>
        </w:rPr>
        <w:t>附</w:t>
      </w:r>
      <w:r>
        <w:t>件三）由招标人统一提供。</w:t>
      </w:r>
    </w:p>
    <w:p>
      <w:pPr>
        <w:spacing w:after="0" w:line="273" w:lineRule="auto"/>
        <w:sectPr>
          <w:pgSz w:w="11910" w:h="16840"/>
          <w:pgMar w:top="1580" w:right="360" w:bottom="1300" w:left="760" w:header="0" w:footer="1109" w:gutter="0"/>
        </w:sectPr>
      </w:pPr>
    </w:p>
    <w:p>
      <w:pPr>
        <w:pStyle w:val="11"/>
        <w:rPr>
          <w:sz w:val="20"/>
        </w:rPr>
      </w:pPr>
    </w:p>
    <w:p>
      <w:pPr>
        <w:pStyle w:val="11"/>
        <w:spacing w:before="12"/>
        <w:rPr>
          <w:sz w:val="19"/>
        </w:rPr>
      </w:pPr>
    </w:p>
    <w:p>
      <w:pPr>
        <w:spacing w:after="0"/>
        <w:rPr>
          <w:sz w:val="19"/>
        </w:rPr>
        <w:sectPr>
          <w:pgSz w:w="11910" w:h="16840"/>
          <w:pgMar w:top="1580" w:right="360" w:bottom="1300" w:left="760" w:header="0" w:footer="1109" w:gutter="0"/>
        </w:sectPr>
      </w:pPr>
    </w:p>
    <w:p>
      <w:pPr>
        <w:spacing w:before="61"/>
        <w:ind w:left="826" w:right="0" w:firstLine="0"/>
        <w:jc w:val="left"/>
        <w:rPr>
          <w:sz w:val="28"/>
        </w:rPr>
      </w:pPr>
      <w:r>
        <w:rPr>
          <w:sz w:val="21"/>
        </w:rPr>
        <w:t>附件一</w:t>
      </w:r>
      <w:r>
        <w:rPr>
          <w:sz w:val="28"/>
        </w:rPr>
        <w:t>：</w:t>
      </w:r>
    </w:p>
    <w:p>
      <w:pPr>
        <w:pStyle w:val="11"/>
        <w:rPr>
          <w:sz w:val="32"/>
        </w:rPr>
      </w:pPr>
      <w:r>
        <w:br w:type="column"/>
      </w:r>
    </w:p>
    <w:p>
      <w:pPr>
        <w:spacing w:before="207"/>
        <w:ind w:left="826" w:right="0" w:firstLine="0"/>
        <w:jc w:val="left"/>
        <w:rPr>
          <w:rFonts w:hint="eastAsia" w:ascii="黑体" w:eastAsia="黑体"/>
          <w:sz w:val="32"/>
        </w:rPr>
      </w:pPr>
      <w:r>
        <w:rPr>
          <w:rFonts w:hint="eastAsia" w:ascii="黑体" w:eastAsia="黑体"/>
          <w:sz w:val="32"/>
        </w:rPr>
        <w:t>投 标 授 权 委 托 书</w:t>
      </w:r>
    </w:p>
    <w:p>
      <w:pPr>
        <w:spacing w:after="0"/>
        <w:jc w:val="left"/>
        <w:rPr>
          <w:rFonts w:hint="eastAsia" w:ascii="黑体" w:eastAsia="黑体"/>
          <w:sz w:val="32"/>
        </w:rPr>
        <w:sectPr>
          <w:type w:val="continuous"/>
          <w:pgSz w:w="11910" w:h="16840"/>
          <w:pgMar w:top="1580" w:right="360" w:bottom="1220" w:left="760" w:header="720" w:footer="720" w:gutter="0"/>
          <w:cols w:equalWidth="0" w:num="2">
            <w:col w:w="1899" w:space="923"/>
            <w:col w:w="7968"/>
          </w:cols>
        </w:sect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spacing w:before="4"/>
        <w:rPr>
          <w:rFonts w:ascii="黑体"/>
          <w:sz w:val="23"/>
        </w:rPr>
      </w:pPr>
    </w:p>
    <w:p>
      <w:pPr>
        <w:pStyle w:val="11"/>
        <w:tabs>
          <w:tab w:val="left" w:pos="4786"/>
          <w:tab w:val="left" w:pos="9705"/>
        </w:tabs>
        <w:spacing w:before="74"/>
        <w:ind w:left="1306"/>
        <w:jc w:val="both"/>
        <w:rPr>
          <w:rFonts w:ascii="Times New Roman" w:eastAsia="Times New Roman"/>
        </w:rPr>
      </w:pPr>
      <w:r>
        <w:t>本授权委托书声明：我</w:t>
      </w:r>
      <w:r>
        <w:rPr>
          <w:u w:val="single"/>
        </w:rPr>
        <w:t xml:space="preserve"> </w:t>
      </w:r>
      <w:r>
        <w:rPr>
          <w:u w:val="single"/>
        </w:rPr>
        <w:tab/>
      </w:r>
      <w:r>
        <w:t>（姓名）系</w:t>
      </w:r>
      <w:r>
        <w:rPr>
          <w:spacing w:val="-1"/>
        </w:rPr>
        <w:t xml:space="preserve"> </w:t>
      </w:r>
      <w:r>
        <w:rPr>
          <w:rFonts w:ascii="Times New Roman" w:eastAsia="Times New Roman"/>
          <w:u w:val="single"/>
        </w:rPr>
        <w:t xml:space="preserve"> </w:t>
      </w:r>
      <w:r>
        <w:rPr>
          <w:rFonts w:ascii="Times New Roman" w:eastAsia="Times New Roman"/>
          <w:u w:val="single"/>
        </w:rPr>
        <w:tab/>
      </w:r>
    </w:p>
    <w:p>
      <w:pPr>
        <w:pStyle w:val="11"/>
        <w:tabs>
          <w:tab w:val="left" w:pos="2700"/>
          <w:tab w:val="left" w:pos="8513"/>
          <w:tab w:val="left" w:pos="9731"/>
        </w:tabs>
        <w:spacing w:before="160" w:line="364" w:lineRule="auto"/>
        <w:ind w:left="826" w:right="1052" w:hanging="1"/>
        <w:jc w:val="both"/>
      </w:pPr>
      <w:r>
        <w:rPr>
          <w:rFonts w:ascii="Times New Roman" w:eastAsia="Times New Roman"/>
          <w:u w:val="single"/>
        </w:rPr>
        <w:t xml:space="preserve"> </w:t>
      </w:r>
      <w:r>
        <w:rPr>
          <w:rFonts w:ascii="Times New Roman" w:eastAsia="Times New Roman"/>
          <w:u w:val="single"/>
        </w:rPr>
        <w:tab/>
      </w:r>
      <w:r>
        <w:t>（投标人名称）的法定代表人，现授权委托</w:t>
      </w:r>
      <w:r>
        <w:rPr>
          <w:u w:val="single"/>
        </w:rPr>
        <w:t xml:space="preserve"> </w:t>
      </w:r>
      <w:r>
        <w:rPr>
          <w:u w:val="single"/>
        </w:rPr>
        <w:tab/>
      </w:r>
      <w:r>
        <w:rPr>
          <w:rFonts w:ascii="Times New Roman" w:eastAsia="Times New Roman"/>
          <w:spacing w:val="8"/>
          <w:u w:val="single"/>
        </w:rPr>
        <w:t>(</w:t>
      </w:r>
      <w:r>
        <w:rPr>
          <w:spacing w:val="7"/>
        </w:rPr>
        <w:t>姓名</w:t>
      </w:r>
      <w:r>
        <w:rPr>
          <w:rFonts w:ascii="Times New Roman" w:eastAsia="Times New Roman"/>
          <w:spacing w:val="8"/>
        </w:rPr>
        <w:t>)</w:t>
      </w:r>
      <w:r>
        <w:rPr>
          <w:spacing w:val="7"/>
        </w:rPr>
        <w:t>为</w:t>
      </w:r>
      <w:r>
        <w:t>我</w:t>
      </w:r>
      <w:r>
        <w:rPr>
          <w:spacing w:val="-1"/>
        </w:rPr>
        <w:t>公</w:t>
      </w:r>
      <w:r>
        <w:t>司的合法代理人，全权代表我公司参加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投标活动</w:t>
      </w:r>
      <w:r>
        <w:rPr>
          <w:spacing w:val="-12"/>
        </w:rPr>
        <w:t>，</w:t>
      </w:r>
      <w:r>
        <w:t>以本公司名义签署投标文件</w:t>
      </w:r>
      <w:r>
        <w:rPr>
          <w:spacing w:val="-10"/>
        </w:rPr>
        <w:t>、</w:t>
      </w:r>
      <w:r>
        <w:t>参加开标</w:t>
      </w:r>
      <w:r>
        <w:rPr>
          <w:spacing w:val="-12"/>
        </w:rPr>
        <w:t>、</w:t>
      </w:r>
      <w:r>
        <w:t>询标以及处理与之有关的一切事宜。我承认代理人在上述活动中所签署的所有内容。</w:t>
      </w:r>
    </w:p>
    <w:p>
      <w:pPr>
        <w:pStyle w:val="11"/>
        <w:spacing w:before="3"/>
        <w:ind w:left="1306"/>
      </w:pPr>
      <w:r>
        <w:t>代理人无转委托权，特此委托。</w:t>
      </w:r>
    </w:p>
    <w:p>
      <w:pPr>
        <w:pStyle w:val="11"/>
      </w:pPr>
    </w:p>
    <w:p>
      <w:pPr>
        <w:pStyle w:val="11"/>
      </w:pPr>
    </w:p>
    <w:p>
      <w:pPr>
        <w:pStyle w:val="11"/>
      </w:pPr>
    </w:p>
    <w:p>
      <w:pPr>
        <w:pStyle w:val="11"/>
      </w:pPr>
    </w:p>
    <w:p>
      <w:pPr>
        <w:pStyle w:val="11"/>
        <w:spacing w:before="1"/>
        <w:rPr>
          <w:sz w:val="32"/>
        </w:rPr>
      </w:pPr>
    </w:p>
    <w:p>
      <w:pPr>
        <w:pStyle w:val="11"/>
        <w:tabs>
          <w:tab w:val="left" w:pos="2855"/>
        </w:tabs>
        <w:ind w:right="107"/>
        <w:jc w:val="center"/>
        <w:rPr>
          <w:rFonts w:ascii="Times New Roman" w:eastAsia="Times New Roman"/>
        </w:rPr>
      </w:pPr>
      <w:r>
        <w:rPr>
          <w:spacing w:val="-1"/>
        </w:rPr>
        <w:t>投</w:t>
      </w:r>
      <w:r>
        <w:t>标人（盖章）：</w:t>
      </w:r>
      <w:r>
        <w:rPr>
          <w:rFonts w:ascii="Times New Roman" w:eastAsia="Times New Roman"/>
          <w:u w:val="single"/>
        </w:rPr>
        <w:t xml:space="preserve"> </w:t>
      </w:r>
      <w:r>
        <w:rPr>
          <w:rFonts w:ascii="Times New Roman" w:eastAsia="Times New Roman"/>
          <w:u w:val="single"/>
        </w:rPr>
        <w:tab/>
      </w:r>
    </w:p>
    <w:p>
      <w:pPr>
        <w:pStyle w:val="11"/>
        <w:rPr>
          <w:rFonts w:ascii="Times New Roman"/>
          <w:sz w:val="20"/>
        </w:rPr>
      </w:pPr>
    </w:p>
    <w:p>
      <w:pPr>
        <w:pStyle w:val="11"/>
        <w:rPr>
          <w:rFonts w:ascii="Times New Roman"/>
          <w:sz w:val="20"/>
        </w:rPr>
      </w:pPr>
    </w:p>
    <w:p>
      <w:pPr>
        <w:pStyle w:val="11"/>
        <w:rPr>
          <w:rFonts w:ascii="Times New Roman"/>
          <w:sz w:val="20"/>
        </w:rPr>
      </w:pPr>
    </w:p>
    <w:p>
      <w:pPr>
        <w:pStyle w:val="11"/>
        <w:tabs>
          <w:tab w:val="left" w:pos="8025"/>
        </w:tabs>
        <w:spacing w:before="203"/>
        <w:ind w:left="3910"/>
        <w:rPr>
          <w:rFonts w:ascii="Times New Roman" w:eastAsia="Times New Roman"/>
        </w:rPr>
      </w:pPr>
      <w:r>
        <w:rPr>
          <w:spacing w:val="-1"/>
        </w:rPr>
        <w:t>法</w:t>
      </w:r>
      <w:r>
        <w:t>定代表人（签名或盖章）：</w:t>
      </w:r>
      <w:r>
        <w:rPr>
          <w:rFonts w:ascii="Times New Roman" w:eastAsia="Times New Roman"/>
          <w:u w:val="single"/>
        </w:rPr>
        <w:t xml:space="preserve"> </w:t>
      </w:r>
      <w:r>
        <w:rPr>
          <w:rFonts w:ascii="Times New Roman" w:eastAsia="Times New Roman"/>
          <w:u w:val="single"/>
        </w:rPr>
        <w:tab/>
      </w:r>
    </w:p>
    <w:p>
      <w:pPr>
        <w:pStyle w:val="11"/>
        <w:rPr>
          <w:rFonts w:ascii="Times New Roman"/>
          <w:sz w:val="20"/>
        </w:rPr>
      </w:pPr>
    </w:p>
    <w:p>
      <w:pPr>
        <w:pStyle w:val="11"/>
        <w:rPr>
          <w:rFonts w:ascii="Times New Roman"/>
          <w:sz w:val="20"/>
        </w:rPr>
      </w:pPr>
    </w:p>
    <w:p>
      <w:pPr>
        <w:pStyle w:val="11"/>
        <w:rPr>
          <w:rFonts w:ascii="Times New Roman"/>
          <w:sz w:val="20"/>
        </w:rPr>
      </w:pPr>
    </w:p>
    <w:p>
      <w:pPr>
        <w:pStyle w:val="11"/>
        <w:tabs>
          <w:tab w:val="left" w:pos="6310"/>
          <w:tab w:val="left" w:pos="7270"/>
          <w:tab w:val="left" w:pos="8230"/>
        </w:tabs>
        <w:spacing w:before="202"/>
        <w:ind w:left="3910"/>
      </w:pPr>
      <w:r>
        <w:t>授权委托日期：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type w:val="continuous"/>
          <w:pgSz w:w="11910" w:h="16840"/>
          <w:pgMar w:top="1580" w:right="360" w:bottom="1220" w:left="760" w:header="720" w:footer="720" w:gutter="0"/>
        </w:sectPr>
      </w:pPr>
    </w:p>
    <w:p>
      <w:pPr>
        <w:pStyle w:val="11"/>
        <w:rPr>
          <w:sz w:val="20"/>
        </w:rPr>
      </w:pPr>
    </w:p>
    <w:p>
      <w:pPr>
        <w:pStyle w:val="11"/>
        <w:spacing w:before="2"/>
        <w:rPr>
          <w:sz w:val="18"/>
        </w:rPr>
      </w:pPr>
    </w:p>
    <w:p>
      <w:pPr>
        <w:spacing w:before="70"/>
        <w:ind w:left="826" w:right="0" w:firstLine="0"/>
        <w:jc w:val="left"/>
        <w:rPr>
          <w:sz w:val="21"/>
        </w:rPr>
      </w:pPr>
      <w:r>
        <w:rPr>
          <w:sz w:val="21"/>
        </w:rPr>
        <w:t>附件二：</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8"/>
        <w:rPr>
          <w:sz w:val="17"/>
        </w:rPr>
      </w:pPr>
    </w:p>
    <w:p>
      <w:pPr>
        <w:pStyle w:val="3"/>
        <w:spacing w:line="922" w:lineRule="exact"/>
        <w:ind w:left="228"/>
      </w:pPr>
      <w:r>
        <w:t>资格标格式</w:t>
      </w:r>
    </w:p>
    <w:p>
      <w:pPr>
        <w:spacing w:after="0" w:line="922" w:lineRule="exact"/>
        <w:sectPr>
          <w:pgSz w:w="11910" w:h="16840"/>
          <w:pgMar w:top="1580" w:right="360" w:bottom="1300" w:left="760" w:header="0" w:footer="1109" w:gutter="0"/>
        </w:sectPr>
      </w:pPr>
    </w:p>
    <w:p>
      <w:pPr>
        <w:pStyle w:val="11"/>
        <w:rPr>
          <w:b/>
          <w:sz w:val="20"/>
        </w:rPr>
      </w:pPr>
    </w:p>
    <w:p>
      <w:pPr>
        <w:pStyle w:val="11"/>
        <w:spacing w:before="6"/>
        <w:rPr>
          <w:b/>
          <w:sz w:val="18"/>
        </w:rPr>
      </w:pPr>
    </w:p>
    <w:p>
      <w:pPr>
        <w:spacing w:before="38"/>
        <w:ind w:left="228" w:right="510" w:firstLine="0"/>
        <w:jc w:val="center"/>
        <w:rPr>
          <w:b/>
          <w:sz w:val="44"/>
        </w:rPr>
      </w:pPr>
      <w:bookmarkStart w:id="0" w:name="目  录"/>
      <w:bookmarkEnd w:id="0"/>
      <w:r>
        <w:rPr>
          <w:b/>
          <w:sz w:val="44"/>
        </w:rPr>
        <w:t>投标人资格后审申请文件</w:t>
      </w:r>
    </w:p>
    <w:p>
      <w:pPr>
        <w:pStyle w:val="11"/>
        <w:rPr>
          <w:b/>
          <w:sz w:val="44"/>
        </w:rPr>
      </w:pPr>
    </w:p>
    <w:p>
      <w:pPr>
        <w:pStyle w:val="11"/>
        <w:spacing w:before="1"/>
        <w:rPr>
          <w:b/>
          <w:sz w:val="64"/>
        </w:rPr>
      </w:pPr>
    </w:p>
    <w:p>
      <w:pPr>
        <w:pStyle w:val="6"/>
        <w:ind w:left="223"/>
        <w:rPr>
          <w:rFonts w:hint="eastAsia" w:ascii="宋体" w:eastAsia="宋体"/>
        </w:rPr>
      </w:pPr>
      <w:r>
        <w:rPr>
          <w:rFonts w:hint="eastAsia" w:ascii="宋体" w:eastAsia="宋体"/>
        </w:rPr>
        <w:t>（封面）</w:t>
      </w:r>
    </w:p>
    <w:p>
      <w:pPr>
        <w:pStyle w:val="11"/>
        <w:rPr>
          <w:sz w:val="32"/>
        </w:rPr>
      </w:pPr>
    </w:p>
    <w:p>
      <w:pPr>
        <w:pStyle w:val="11"/>
        <w:rPr>
          <w:sz w:val="32"/>
        </w:rPr>
      </w:pPr>
    </w:p>
    <w:p>
      <w:pPr>
        <w:pStyle w:val="11"/>
        <w:rPr>
          <w:sz w:val="32"/>
        </w:rPr>
      </w:pPr>
    </w:p>
    <w:p>
      <w:pPr>
        <w:pStyle w:val="9"/>
        <w:tabs>
          <w:tab w:val="left" w:pos="6650"/>
        </w:tabs>
        <w:spacing w:before="258"/>
        <w:ind w:right="364"/>
        <w:rPr>
          <w:rFonts w:ascii="Times New Roman" w:eastAsia="Times New Roman"/>
        </w:rPr>
      </w:pPr>
      <w:r>
        <w:rPr>
          <w:spacing w:val="-1"/>
        </w:rPr>
        <w:t>项</w:t>
      </w:r>
      <w:r>
        <w:rPr>
          <w:spacing w:val="-3"/>
        </w:rPr>
        <w:t>目</w:t>
      </w:r>
      <w:r>
        <w:rPr>
          <w:spacing w:val="-1"/>
        </w:rPr>
        <w:t>编号</w:t>
      </w:r>
      <w:r>
        <w:rPr>
          <w:spacing w:val="-3"/>
        </w:rPr>
        <w:t>：</w:t>
      </w:r>
      <w:r>
        <w:rPr>
          <w:rFonts w:ascii="Times New Roman" w:eastAsia="Times New Roman"/>
          <w:u w:val="single"/>
        </w:rPr>
        <w:t xml:space="preserve"> </w:t>
      </w:r>
      <w:r>
        <w:rPr>
          <w:rFonts w:ascii="Times New Roman" w:eastAsia="Times New Roman"/>
          <w:u w:val="single"/>
        </w:rPr>
        <w:tab/>
      </w:r>
    </w:p>
    <w:p>
      <w:pPr>
        <w:pStyle w:val="11"/>
        <w:rPr>
          <w:rFonts w:ascii="Times New Roman"/>
          <w:sz w:val="20"/>
        </w:rPr>
      </w:pPr>
    </w:p>
    <w:p>
      <w:pPr>
        <w:pStyle w:val="11"/>
        <w:rPr>
          <w:rFonts w:ascii="Times New Roman"/>
          <w:sz w:val="20"/>
        </w:rPr>
      </w:pPr>
    </w:p>
    <w:p>
      <w:pPr>
        <w:pStyle w:val="11"/>
        <w:spacing w:before="10"/>
        <w:rPr>
          <w:rFonts w:ascii="Times New Roman"/>
          <w:sz w:val="19"/>
        </w:rPr>
      </w:pPr>
    </w:p>
    <w:p>
      <w:pPr>
        <w:tabs>
          <w:tab w:val="left" w:pos="6713"/>
        </w:tabs>
        <w:spacing w:before="71"/>
        <w:ind w:left="0" w:right="301" w:firstLine="0"/>
        <w:jc w:val="center"/>
        <w:rPr>
          <w:rFonts w:ascii="Times New Roman" w:eastAsia="Times New Roman"/>
          <w:sz w:val="28"/>
        </w:rPr>
      </w:pPr>
      <w:r>
        <w:rPr>
          <w:spacing w:val="-1"/>
          <w:sz w:val="28"/>
        </w:rPr>
        <w:t>项</w:t>
      </w:r>
      <w:r>
        <w:rPr>
          <w:spacing w:val="-3"/>
          <w:sz w:val="28"/>
        </w:rPr>
        <w:t>目</w:t>
      </w:r>
      <w:r>
        <w:rPr>
          <w:spacing w:val="-1"/>
          <w:sz w:val="28"/>
        </w:rPr>
        <w:t>名称</w:t>
      </w:r>
      <w:r>
        <w:rPr>
          <w:spacing w:val="-3"/>
          <w:sz w:val="28"/>
        </w:rPr>
        <w:t>：</w:t>
      </w:r>
      <w:r>
        <w:rPr>
          <w:rFonts w:ascii="Times New Roman" w:eastAsia="Times New Roman"/>
          <w:sz w:val="28"/>
          <w:u w:val="single"/>
        </w:rPr>
        <w:t xml:space="preserve"> </w:t>
      </w:r>
      <w:r>
        <w:rPr>
          <w:rFonts w:ascii="Times New Roman" w:eastAsia="Times New Roman"/>
          <w:sz w:val="28"/>
          <w:u w:val="single"/>
        </w:rPr>
        <w:tab/>
      </w:r>
    </w:p>
    <w:p>
      <w:pPr>
        <w:pStyle w:val="11"/>
        <w:rPr>
          <w:rFonts w:ascii="Times New Roman"/>
          <w:sz w:val="20"/>
        </w:rPr>
      </w:pPr>
    </w:p>
    <w:p>
      <w:pPr>
        <w:pStyle w:val="11"/>
        <w:rPr>
          <w:rFonts w:ascii="Times New Roman"/>
          <w:sz w:val="20"/>
        </w:rPr>
      </w:pPr>
    </w:p>
    <w:p>
      <w:pPr>
        <w:pStyle w:val="11"/>
        <w:rPr>
          <w:rFonts w:ascii="Times New Roman"/>
          <w:sz w:val="20"/>
        </w:rPr>
      </w:pPr>
    </w:p>
    <w:p>
      <w:pPr>
        <w:tabs>
          <w:tab w:val="left" w:pos="5383"/>
        </w:tabs>
        <w:spacing w:before="247"/>
        <w:ind w:left="0" w:right="510" w:firstLine="0"/>
        <w:jc w:val="center"/>
        <w:rPr>
          <w:sz w:val="28"/>
        </w:rPr>
      </w:pPr>
      <w:r>
        <w:rPr>
          <w:sz w:val="28"/>
        </w:rPr>
        <w:t>投</w:t>
      </w:r>
      <w:r>
        <w:rPr>
          <w:spacing w:val="-3"/>
          <w:sz w:val="28"/>
        </w:rPr>
        <w:t>标</w:t>
      </w:r>
      <w:r>
        <w:rPr>
          <w:sz w:val="28"/>
        </w:rPr>
        <w:t>人：</w:t>
      </w:r>
      <w:r>
        <w:rPr>
          <w:sz w:val="28"/>
          <w:u w:val="single"/>
        </w:rPr>
        <w:t xml:space="preserve"> </w:t>
      </w:r>
      <w:r>
        <w:rPr>
          <w:sz w:val="28"/>
          <w:u w:val="single"/>
        </w:rPr>
        <w:tab/>
      </w:r>
      <w:r>
        <w:rPr>
          <w:spacing w:val="-1"/>
          <w:sz w:val="28"/>
          <w:u w:val="single"/>
        </w:rPr>
        <w:t>（</w:t>
      </w:r>
      <w:r>
        <w:rPr>
          <w:spacing w:val="-3"/>
          <w:sz w:val="28"/>
          <w:u w:val="single"/>
        </w:rPr>
        <w:t>盖</w:t>
      </w:r>
      <w:r>
        <w:rPr>
          <w:spacing w:val="-1"/>
          <w:sz w:val="28"/>
          <w:u w:val="single"/>
        </w:rPr>
        <w:t>章</w:t>
      </w:r>
      <w:r>
        <w:rPr>
          <w:sz w:val="28"/>
          <w:u w:val="single"/>
        </w:rPr>
        <w:t>）</w:t>
      </w:r>
    </w:p>
    <w:p>
      <w:pPr>
        <w:pStyle w:val="11"/>
        <w:rPr>
          <w:sz w:val="20"/>
        </w:rPr>
      </w:pPr>
    </w:p>
    <w:p>
      <w:pPr>
        <w:pStyle w:val="11"/>
        <w:rPr>
          <w:sz w:val="20"/>
        </w:rPr>
      </w:pPr>
    </w:p>
    <w:p>
      <w:pPr>
        <w:pStyle w:val="11"/>
        <w:spacing w:before="12"/>
        <w:rPr>
          <w:sz w:val="23"/>
        </w:rPr>
      </w:pPr>
    </w:p>
    <w:p>
      <w:pPr>
        <w:tabs>
          <w:tab w:val="left" w:pos="4543"/>
        </w:tabs>
        <w:spacing w:before="70"/>
        <w:ind w:left="0" w:right="510" w:firstLine="0"/>
        <w:jc w:val="center"/>
        <w:rPr>
          <w:sz w:val="28"/>
        </w:rPr>
      </w:pPr>
      <w:r>
        <w:rPr>
          <w:sz w:val="28"/>
        </w:rPr>
        <w:t>法</w:t>
      </w:r>
      <w:r>
        <w:rPr>
          <w:spacing w:val="-3"/>
          <w:sz w:val="28"/>
        </w:rPr>
        <w:t>定</w:t>
      </w:r>
      <w:r>
        <w:rPr>
          <w:sz w:val="28"/>
        </w:rPr>
        <w:t>代表</w:t>
      </w:r>
      <w:r>
        <w:rPr>
          <w:spacing w:val="-3"/>
          <w:sz w:val="28"/>
        </w:rPr>
        <w:t>人</w:t>
      </w:r>
      <w:r>
        <w:rPr>
          <w:sz w:val="28"/>
        </w:rPr>
        <w:t>：</w:t>
      </w:r>
      <w:r>
        <w:rPr>
          <w:sz w:val="28"/>
          <w:u w:val="single"/>
        </w:rPr>
        <w:t xml:space="preserve"> </w:t>
      </w:r>
      <w:r>
        <w:rPr>
          <w:sz w:val="28"/>
          <w:u w:val="single"/>
        </w:rPr>
        <w:tab/>
      </w:r>
      <w:r>
        <w:rPr>
          <w:spacing w:val="-1"/>
          <w:sz w:val="28"/>
          <w:u w:val="single"/>
        </w:rPr>
        <w:t>（</w:t>
      </w:r>
      <w:r>
        <w:rPr>
          <w:spacing w:val="-3"/>
          <w:sz w:val="28"/>
          <w:u w:val="single"/>
        </w:rPr>
        <w:t>签</w:t>
      </w:r>
      <w:r>
        <w:rPr>
          <w:spacing w:val="-1"/>
          <w:sz w:val="28"/>
          <w:u w:val="single"/>
        </w:rPr>
        <w:t>名或</w:t>
      </w:r>
      <w:r>
        <w:rPr>
          <w:spacing w:val="-3"/>
          <w:sz w:val="28"/>
          <w:u w:val="single"/>
        </w:rPr>
        <w:t>盖</w:t>
      </w:r>
      <w:r>
        <w:rPr>
          <w:spacing w:val="-1"/>
          <w:sz w:val="28"/>
          <w:u w:val="single"/>
        </w:rPr>
        <w:t>章</w:t>
      </w:r>
      <w:r>
        <w:rPr>
          <w:sz w:val="28"/>
          <w:u w:val="single"/>
        </w:rPr>
        <w:t>）</w:t>
      </w:r>
    </w:p>
    <w:p>
      <w:pPr>
        <w:pStyle w:val="11"/>
        <w:rPr>
          <w:sz w:val="20"/>
        </w:rPr>
      </w:pPr>
    </w:p>
    <w:p>
      <w:pPr>
        <w:pStyle w:val="11"/>
        <w:rPr>
          <w:sz w:val="20"/>
        </w:rPr>
      </w:pPr>
    </w:p>
    <w:p>
      <w:pPr>
        <w:pStyle w:val="11"/>
        <w:spacing w:before="12"/>
        <w:rPr>
          <w:sz w:val="23"/>
        </w:rPr>
      </w:pPr>
    </w:p>
    <w:p>
      <w:pPr>
        <w:tabs>
          <w:tab w:val="left" w:pos="8177"/>
        </w:tabs>
        <w:spacing w:before="70"/>
        <w:ind w:left="1884" w:right="0" w:firstLine="0"/>
        <w:jc w:val="left"/>
        <w:rPr>
          <w:rFonts w:ascii="Times New Roman" w:eastAsia="Times New Roman"/>
          <w:sz w:val="28"/>
        </w:rPr>
      </w:pPr>
      <w:r>
        <w:rPr>
          <w:spacing w:val="-1"/>
          <w:sz w:val="28"/>
        </w:rPr>
        <w:t>地</w:t>
      </w:r>
      <w:r>
        <w:rPr>
          <w:spacing w:val="-3"/>
          <w:sz w:val="28"/>
        </w:rPr>
        <w:t>址</w:t>
      </w:r>
      <w:r>
        <w:rPr>
          <w:spacing w:val="-1"/>
          <w:sz w:val="28"/>
        </w:rPr>
        <w:t>：</w:t>
      </w:r>
      <w:r>
        <w:rPr>
          <w:rFonts w:ascii="Times New Roman" w:eastAsia="Times New Roman"/>
          <w:sz w:val="28"/>
          <w:u w:val="single"/>
        </w:rPr>
        <w:t xml:space="preserve"> </w:t>
      </w:r>
      <w:r>
        <w:rPr>
          <w:rFonts w:ascii="Times New Roman" w:eastAsia="Times New Roman"/>
          <w:sz w:val="28"/>
          <w:u w:val="single"/>
        </w:rPr>
        <w:tab/>
      </w: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spacing w:before="8"/>
        <w:rPr>
          <w:rFonts w:ascii="Times New Roman"/>
          <w:sz w:val="16"/>
        </w:rPr>
      </w:pPr>
    </w:p>
    <w:p>
      <w:pPr>
        <w:tabs>
          <w:tab w:val="left" w:pos="1328"/>
          <w:tab w:val="left" w:pos="2449"/>
          <w:tab w:val="left" w:pos="3570"/>
        </w:tabs>
        <w:spacing w:before="62"/>
        <w:ind w:left="58" w:right="0" w:firstLine="0"/>
        <w:jc w:val="center"/>
        <w:rPr>
          <w:sz w:val="28"/>
        </w:rPr>
      </w:pPr>
      <w:bookmarkStart w:id="1" w:name="         年      月      日"/>
      <w:bookmarkEnd w:id="1"/>
      <w:r>
        <w:rPr>
          <w:rFonts w:ascii="Times New Roman" w:eastAsia="Times New Roman"/>
          <w:w w:val="100"/>
          <w:sz w:val="28"/>
          <w:u w:val="single"/>
        </w:rPr>
        <w:t xml:space="preserve"> </w:t>
      </w:r>
      <w:r>
        <w:rPr>
          <w:rFonts w:ascii="Times New Roman" w:eastAsia="Times New Roman"/>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w:t>
      </w:r>
    </w:p>
    <w:p>
      <w:pPr>
        <w:spacing w:after="0"/>
        <w:jc w:val="center"/>
        <w:rPr>
          <w:sz w:val="28"/>
        </w:rPr>
        <w:sectPr>
          <w:pgSz w:w="11910" w:h="16840"/>
          <w:pgMar w:top="1580" w:right="360" w:bottom="1300" w:left="760" w:header="0" w:footer="1109" w:gutter="0"/>
        </w:sectPr>
      </w:pPr>
    </w:p>
    <w:p>
      <w:pPr>
        <w:pStyle w:val="11"/>
        <w:rPr>
          <w:sz w:val="20"/>
        </w:rPr>
      </w:pPr>
    </w:p>
    <w:p>
      <w:pPr>
        <w:pStyle w:val="11"/>
        <w:rPr>
          <w:sz w:val="20"/>
        </w:rPr>
      </w:pPr>
    </w:p>
    <w:p>
      <w:pPr>
        <w:tabs>
          <w:tab w:val="left" w:pos="561"/>
        </w:tabs>
        <w:spacing w:before="241"/>
        <w:ind w:left="0" w:right="287" w:firstLine="0"/>
        <w:jc w:val="center"/>
        <w:rPr>
          <w:b/>
          <w:sz w:val="28"/>
        </w:rPr>
      </w:pPr>
      <w:r>
        <w:rPr>
          <w:b/>
          <w:sz w:val="28"/>
        </w:rPr>
        <w:t>目</w:t>
      </w:r>
      <w:r>
        <w:rPr>
          <w:b/>
          <w:sz w:val="28"/>
        </w:rPr>
        <w:tab/>
      </w:r>
      <w:r>
        <w:rPr>
          <w:b/>
          <w:sz w:val="28"/>
        </w:rPr>
        <w:t>录</w:t>
      </w:r>
    </w:p>
    <w:p>
      <w:pPr>
        <w:pStyle w:val="11"/>
        <w:rPr>
          <w:b/>
          <w:sz w:val="28"/>
        </w:rPr>
      </w:pPr>
    </w:p>
    <w:p>
      <w:pPr>
        <w:pStyle w:val="11"/>
        <w:spacing w:before="5"/>
        <w:rPr>
          <w:b/>
          <w:sz w:val="34"/>
        </w:rPr>
      </w:pPr>
    </w:p>
    <w:p>
      <w:pPr>
        <w:pStyle w:val="11"/>
        <w:ind w:left="1875"/>
      </w:pPr>
      <w:r>
        <w:t>1、资格后审申请书（附件二-1）</w:t>
      </w:r>
    </w:p>
    <w:p>
      <w:pPr>
        <w:pStyle w:val="11"/>
        <w:spacing w:before="160"/>
        <w:ind w:left="1875"/>
      </w:pPr>
      <w:r>
        <w:t>2、法定代表人资格证明书（附件二-2）</w:t>
      </w:r>
    </w:p>
    <w:p>
      <w:pPr>
        <w:pStyle w:val="11"/>
        <w:spacing w:before="161"/>
        <w:ind w:left="1875"/>
      </w:pPr>
      <w:r>
        <w:t>3、项目监理人员配备表（附件二-3）</w:t>
      </w:r>
    </w:p>
    <w:p>
      <w:pPr>
        <w:pStyle w:val="11"/>
        <w:spacing w:before="160"/>
        <w:ind w:left="1875"/>
      </w:pPr>
      <w:r>
        <w:t>4、拟投入主要检测工具、设备一览表（附件二-4）</w:t>
      </w:r>
    </w:p>
    <w:p>
      <w:pPr>
        <w:pStyle w:val="11"/>
        <w:spacing w:before="161"/>
        <w:ind w:left="1875"/>
      </w:pPr>
      <w:r>
        <w:t>5、证书及相关资料复印件</w:t>
      </w:r>
    </w:p>
    <w:p>
      <w:pPr>
        <w:spacing w:after="0"/>
        <w:sectPr>
          <w:pgSz w:w="11910" w:h="16840"/>
          <w:pgMar w:top="1580" w:right="360" w:bottom="1300" w:left="760" w:header="0" w:footer="1109" w:gutter="0"/>
        </w:sectPr>
      </w:pPr>
    </w:p>
    <w:p>
      <w:pPr>
        <w:pStyle w:val="11"/>
        <w:rPr>
          <w:sz w:val="20"/>
        </w:rPr>
      </w:pPr>
    </w:p>
    <w:p>
      <w:pPr>
        <w:pStyle w:val="11"/>
        <w:spacing w:before="2"/>
        <w:rPr>
          <w:sz w:val="15"/>
        </w:rPr>
      </w:pPr>
    </w:p>
    <w:p>
      <w:pPr>
        <w:spacing w:before="70"/>
        <w:ind w:left="826" w:right="0" w:firstLine="0"/>
        <w:jc w:val="left"/>
        <w:rPr>
          <w:sz w:val="21"/>
        </w:rPr>
      </w:pPr>
      <w:r>
        <w:rPr>
          <w:sz w:val="21"/>
        </w:rPr>
        <w:t>附件二-1</w:t>
      </w:r>
    </w:p>
    <w:p>
      <w:pPr>
        <w:pStyle w:val="11"/>
        <w:spacing w:before="3"/>
        <w:rPr>
          <w:sz w:val="15"/>
        </w:rPr>
      </w:pPr>
    </w:p>
    <w:p>
      <w:pPr>
        <w:spacing w:before="55"/>
        <w:ind w:left="0" w:right="4411" w:firstLine="0"/>
        <w:jc w:val="right"/>
        <w:rPr>
          <w:b/>
          <w:sz w:val="32"/>
        </w:rPr>
      </w:pPr>
      <w:bookmarkStart w:id="2" w:name="资格后审申请书"/>
      <w:bookmarkEnd w:id="2"/>
      <w:r>
        <w:rPr>
          <w:b/>
          <w:w w:val="95"/>
          <w:sz w:val="32"/>
        </w:rPr>
        <w:t>资格后审申请书</w:t>
      </w:r>
    </w:p>
    <w:p>
      <w:pPr>
        <w:pStyle w:val="11"/>
        <w:rPr>
          <w:b/>
          <w:sz w:val="28"/>
        </w:rPr>
      </w:pPr>
    </w:p>
    <w:p>
      <w:pPr>
        <w:pStyle w:val="9"/>
        <w:tabs>
          <w:tab w:val="left" w:pos="1679"/>
          <w:tab w:val="left" w:pos="5459"/>
        </w:tabs>
        <w:spacing w:before="1"/>
        <w:ind w:right="4499"/>
        <w:jc w:val="right"/>
      </w:pPr>
      <w:r>
        <w:t>致：</w:t>
      </w:r>
      <w:r>
        <w:rPr>
          <w:u w:val="single"/>
        </w:rPr>
        <w:t xml:space="preserve"> </w:t>
      </w:r>
      <w:r>
        <w:rPr>
          <w:u w:val="single"/>
        </w:rPr>
        <w:tab/>
      </w:r>
      <w:r>
        <w:rPr>
          <w:spacing w:val="-1"/>
          <w:u w:val="single"/>
        </w:rPr>
        <w:t>(招</w:t>
      </w:r>
      <w:r>
        <w:rPr>
          <w:spacing w:val="-3"/>
          <w:u w:val="single"/>
        </w:rPr>
        <w:t>标</w:t>
      </w:r>
      <w:r>
        <w:rPr>
          <w:u w:val="single"/>
        </w:rPr>
        <w:t>人全</w:t>
      </w:r>
      <w:r>
        <w:rPr>
          <w:spacing w:val="-3"/>
          <w:u w:val="single"/>
        </w:rPr>
        <w:t>称</w:t>
      </w:r>
      <w:r>
        <w:rPr>
          <w:u w:val="single"/>
        </w:rPr>
        <w:t>)</w:t>
      </w:r>
      <w:r>
        <w:rPr>
          <w:u w:val="single"/>
        </w:rPr>
        <w:tab/>
      </w:r>
    </w:p>
    <w:p>
      <w:pPr>
        <w:pStyle w:val="11"/>
        <w:tabs>
          <w:tab w:val="left" w:pos="3737"/>
          <w:tab w:val="left" w:pos="5472"/>
          <w:tab w:val="left" w:pos="7497"/>
          <w:tab w:val="left" w:pos="8832"/>
        </w:tabs>
        <w:spacing w:before="173" w:line="304" w:lineRule="auto"/>
        <w:ind w:left="826" w:right="1111" w:firstLine="480"/>
        <w:jc w:val="both"/>
      </w:pPr>
      <w:r>
        <w:t>1</w:t>
      </w:r>
      <w:r>
        <w:rPr>
          <w:spacing w:val="-17"/>
        </w:rPr>
        <w:t>、</w:t>
      </w:r>
      <w:r>
        <w:t>经授权作为代表</w:t>
      </w:r>
      <w:r>
        <w:rPr>
          <w:spacing w:val="-17"/>
        </w:rPr>
        <w:t>，</w:t>
      </w:r>
      <w:r>
        <w:t>并以</w:t>
      </w:r>
      <w:r>
        <w:rPr>
          <w:u w:val="single"/>
        </w:rPr>
        <w:t xml:space="preserve"> </w:t>
      </w:r>
      <w:r>
        <w:rPr>
          <w:u w:val="single"/>
        </w:rPr>
        <w:tab/>
      </w:r>
      <w:r>
        <w:rPr>
          <w:u w:val="single"/>
        </w:rPr>
        <w:t>(投标人企业全称)</w:t>
      </w:r>
      <w:r>
        <w:rPr>
          <w:u w:val="single"/>
        </w:rPr>
        <w:tab/>
      </w:r>
      <w:r>
        <w:rPr>
          <w:u w:val="single"/>
        </w:rPr>
        <w:tab/>
      </w:r>
      <w:r>
        <w:rPr>
          <w:u w:val="single"/>
        </w:rPr>
        <w:t>(</w:t>
      </w:r>
      <w:r>
        <w:t>以下</w:t>
      </w:r>
      <w:r>
        <w:rPr>
          <w:spacing w:val="-17"/>
        </w:rPr>
        <w:t>简</w:t>
      </w:r>
      <w:r>
        <w:rPr>
          <w:spacing w:val="-5"/>
        </w:rPr>
        <w:t>称</w:t>
      </w:r>
      <w:r>
        <w:t>“投标人”</w:t>
      </w:r>
      <w:r>
        <w:rPr>
          <w:spacing w:val="-8"/>
        </w:rPr>
        <w:t xml:space="preserve"> </w:t>
      </w:r>
      <w:r>
        <w:t>)的名义</w:t>
      </w:r>
      <w:r>
        <w:rPr>
          <w:spacing w:val="-5"/>
        </w:rPr>
        <w:t>，</w:t>
      </w:r>
      <w:r>
        <w:t>在充分理</w:t>
      </w:r>
      <w:r>
        <w:rPr>
          <w:spacing w:val="-5"/>
        </w:rPr>
        <w:t>解</w:t>
      </w:r>
      <w:r>
        <w:t>《投标人资格后审申请书</w:t>
      </w:r>
      <w:r>
        <w:rPr>
          <w:spacing w:val="-8"/>
        </w:rPr>
        <w:t>》</w:t>
      </w:r>
      <w:r>
        <w:t>的基础上</w:t>
      </w:r>
      <w:r>
        <w:rPr>
          <w:spacing w:val="-5"/>
        </w:rPr>
        <w:t>，</w:t>
      </w:r>
      <w:r>
        <w:t>本申请</w:t>
      </w:r>
      <w:r>
        <w:rPr>
          <w:spacing w:val="-15"/>
        </w:rPr>
        <w:t>书</w:t>
      </w:r>
      <w:r>
        <w:t>签名人在此以</w:t>
      </w:r>
      <w:r>
        <w:rPr>
          <w:u w:val="single"/>
        </w:rPr>
        <w:t xml:space="preserve"> </w:t>
      </w:r>
      <w:r>
        <w:rPr>
          <w:u w:val="single"/>
        </w:rPr>
        <w:tab/>
      </w:r>
      <w:r>
        <w:rPr>
          <w:u w:val="single"/>
        </w:rPr>
        <w:t>(工程项目全称)</w:t>
      </w:r>
      <w:r>
        <w:rPr>
          <w:u w:val="single"/>
        </w:rPr>
        <w:tab/>
      </w:r>
      <w:r>
        <w:rPr>
          <w:u w:val="single"/>
        </w:rPr>
        <w:tab/>
      </w:r>
      <w:r>
        <w:t>投标人的身份，向</w:t>
      </w:r>
      <w:r>
        <w:rPr>
          <w:spacing w:val="-14"/>
        </w:rPr>
        <w:t>你</w:t>
      </w:r>
      <w:r>
        <w:t>方提出资格后审申请。</w:t>
      </w:r>
    </w:p>
    <w:p>
      <w:pPr>
        <w:pStyle w:val="11"/>
        <w:spacing w:before="118" w:line="304" w:lineRule="auto"/>
        <w:ind w:left="826" w:right="991" w:firstLine="480"/>
      </w:pPr>
      <w:r>
        <w:t>2、按资格后审文件的要求，你方授权代表可调查、审核我方递交的与本申请书</w:t>
      </w:r>
      <w:r>
        <w:rPr>
          <w:spacing w:val="-4"/>
        </w:rPr>
        <w:t>相关的声明、文件和资料，并通过我方的开户银行和客户，澄清本申请书中有关财务</w:t>
      </w:r>
      <w:r>
        <w:rPr>
          <w:spacing w:val="-7"/>
        </w:rPr>
        <w:t>和技术方面的问题。本申请书还将授权给有关的任何个人或机构及其授权代表，按你</w:t>
      </w:r>
      <w:r>
        <w:rPr>
          <w:spacing w:val="-9"/>
        </w:rPr>
        <w:t>方的要求，提供必要的相关资料,以核实本申请书中递交的或与本投标人的资金来源、</w:t>
      </w:r>
      <w:r>
        <w:t>经验和能力有关的声明和资料。</w:t>
      </w:r>
    </w:p>
    <w:p>
      <w:pPr>
        <w:pStyle w:val="11"/>
        <w:spacing w:before="118"/>
        <w:ind w:left="1306"/>
      </w:pPr>
      <w:r>
        <w:t>3、本申请充分理解下列情况：</w:t>
      </w:r>
    </w:p>
    <w:p>
      <w:pPr>
        <w:pStyle w:val="18"/>
        <w:numPr>
          <w:ilvl w:val="1"/>
          <w:numId w:val="19"/>
        </w:numPr>
        <w:tabs>
          <w:tab w:val="left" w:pos="1727"/>
        </w:tabs>
        <w:spacing w:before="202" w:after="0" w:line="240" w:lineRule="auto"/>
        <w:ind w:left="1726" w:right="0" w:hanging="421"/>
        <w:jc w:val="left"/>
        <w:rPr>
          <w:sz w:val="24"/>
        </w:rPr>
      </w:pPr>
      <w:r>
        <w:rPr>
          <w:sz w:val="24"/>
        </w:rPr>
        <w:t>资格后审合格的投标人的投标，须以资格后审申请提供的内容为准；</w:t>
      </w:r>
    </w:p>
    <w:p>
      <w:pPr>
        <w:pStyle w:val="18"/>
        <w:numPr>
          <w:ilvl w:val="1"/>
          <w:numId w:val="19"/>
        </w:numPr>
        <w:tabs>
          <w:tab w:val="left" w:pos="1727"/>
        </w:tabs>
        <w:spacing w:before="203" w:after="0" w:line="240" w:lineRule="auto"/>
        <w:ind w:left="1726" w:right="0" w:hanging="421"/>
        <w:jc w:val="left"/>
        <w:rPr>
          <w:sz w:val="24"/>
        </w:rPr>
      </w:pPr>
      <w:r>
        <w:rPr>
          <w:sz w:val="24"/>
        </w:rPr>
        <w:t>你方保留如下权利：</w:t>
      </w:r>
    </w:p>
    <w:p>
      <w:pPr>
        <w:pStyle w:val="18"/>
        <w:numPr>
          <w:ilvl w:val="0"/>
          <w:numId w:val="20"/>
        </w:numPr>
        <w:tabs>
          <w:tab w:val="left" w:pos="1669"/>
        </w:tabs>
        <w:spacing w:before="202" w:after="0" w:line="304" w:lineRule="auto"/>
        <w:ind w:left="826" w:right="1113" w:firstLine="480"/>
        <w:jc w:val="left"/>
        <w:rPr>
          <w:sz w:val="24"/>
        </w:rPr>
      </w:pPr>
      <w:r>
        <w:rPr>
          <w:sz w:val="24"/>
        </w:rPr>
        <w:t>更改本招标项目的规模和金额的权利。前述情况发生时，投标仅面向资格后审合格且能满足变更后要求的投标人。</w:t>
      </w:r>
    </w:p>
    <w:p>
      <w:pPr>
        <w:pStyle w:val="18"/>
        <w:numPr>
          <w:ilvl w:val="0"/>
          <w:numId w:val="20"/>
        </w:numPr>
        <w:tabs>
          <w:tab w:val="left" w:pos="1608"/>
        </w:tabs>
        <w:spacing w:before="119" w:after="0" w:line="304" w:lineRule="auto"/>
        <w:ind w:left="1306" w:right="1257" w:hanging="60"/>
        <w:jc w:val="left"/>
        <w:rPr>
          <w:sz w:val="24"/>
        </w:rPr>
      </w:pPr>
      <w:r>
        <w:rPr>
          <w:spacing w:val="-1"/>
          <w:sz w:val="24"/>
        </w:rPr>
        <w:t>接受符合资格后审合格条件的申请；拒绝不符合资格后审合格条件的申请。</w:t>
      </w:r>
      <w:r>
        <w:rPr>
          <w:sz w:val="24"/>
        </w:rPr>
        <w:t>4、我方将接受并遵守资格后审文件、招标文件所规定的各项条款。</w:t>
      </w:r>
    </w:p>
    <w:p>
      <w:pPr>
        <w:pStyle w:val="11"/>
        <w:spacing w:line="304" w:lineRule="auto"/>
        <w:ind w:left="826" w:right="1113" w:firstLine="480"/>
      </w:pPr>
      <w:r>
        <w:t>5、我方在此声明：本申请书中所递交的声明和资料在各方面都是完整、真实和准确的，若有弄虚作假的，愿承担法律和经济责任。</w:t>
      </w:r>
    </w:p>
    <w:p>
      <w:pPr>
        <w:pStyle w:val="11"/>
        <w:spacing w:line="306" w:lineRule="exact"/>
        <w:ind w:left="1306"/>
      </w:pPr>
      <w:r>
        <w:t>投标人：(公章)</w:t>
      </w:r>
    </w:p>
    <w:p>
      <w:pPr>
        <w:pStyle w:val="11"/>
        <w:spacing w:before="82"/>
        <w:ind w:left="1306"/>
      </w:pPr>
      <w:r>
        <w:t>法定代表人：(签名或盖章)</w:t>
      </w:r>
    </w:p>
    <w:p>
      <w:pPr>
        <w:pStyle w:val="11"/>
        <w:spacing w:before="82"/>
        <w:ind w:left="1306"/>
      </w:pPr>
      <w:r>
        <w:t>地址：(包括邮编、电话、传真)</w:t>
      </w:r>
    </w:p>
    <w:p>
      <w:pPr>
        <w:pStyle w:val="11"/>
      </w:pPr>
    </w:p>
    <w:p>
      <w:pPr>
        <w:pStyle w:val="11"/>
      </w:pPr>
    </w:p>
    <w:p>
      <w:pPr>
        <w:pStyle w:val="11"/>
        <w:spacing w:before="5"/>
        <w:rPr>
          <w:sz w:val="19"/>
        </w:rPr>
      </w:pPr>
    </w:p>
    <w:p>
      <w:pPr>
        <w:pStyle w:val="11"/>
        <w:tabs>
          <w:tab w:val="left" w:pos="7666"/>
          <w:tab w:val="left" w:pos="8386"/>
        </w:tabs>
        <w:ind w:left="6946"/>
      </w:pPr>
      <w:r>
        <w:t>年</w:t>
      </w:r>
      <w:r>
        <w:tab/>
      </w:r>
      <w:r>
        <w:t>月</w:t>
      </w:r>
      <w:r>
        <w:tab/>
      </w:r>
      <w:r>
        <w:t>日</w:t>
      </w:r>
    </w:p>
    <w:p>
      <w:pPr>
        <w:spacing w:after="0"/>
        <w:sectPr>
          <w:pgSz w:w="11910" w:h="16840"/>
          <w:pgMar w:top="1580" w:right="360" w:bottom="1300" w:left="760" w:header="0" w:footer="1109" w:gutter="0"/>
        </w:sectPr>
      </w:pPr>
    </w:p>
    <w:p>
      <w:pPr>
        <w:pStyle w:val="11"/>
        <w:rPr>
          <w:sz w:val="20"/>
        </w:rPr>
      </w:pPr>
    </w:p>
    <w:p>
      <w:pPr>
        <w:pStyle w:val="11"/>
        <w:spacing w:before="2"/>
        <w:rPr>
          <w:sz w:val="15"/>
        </w:rPr>
      </w:pPr>
    </w:p>
    <w:p>
      <w:pPr>
        <w:spacing w:before="70"/>
        <w:ind w:left="826" w:right="0" w:firstLine="0"/>
        <w:jc w:val="left"/>
        <w:rPr>
          <w:sz w:val="21"/>
        </w:rPr>
      </w:pPr>
      <w:bookmarkStart w:id="3" w:name="附件二-2"/>
      <w:bookmarkEnd w:id="3"/>
      <w:r>
        <w:rPr>
          <w:sz w:val="21"/>
        </w:rPr>
        <w:t>附件二-2</w:t>
      </w:r>
    </w:p>
    <w:p>
      <w:pPr>
        <w:pStyle w:val="11"/>
        <w:spacing w:before="3"/>
        <w:rPr>
          <w:sz w:val="15"/>
        </w:rPr>
      </w:pPr>
    </w:p>
    <w:p>
      <w:pPr>
        <w:pStyle w:val="5"/>
        <w:ind w:left="225"/>
      </w:pPr>
      <w:r>
        <w:t>法定代表人资格证明书</w:t>
      </w:r>
    </w:p>
    <w:p>
      <w:pPr>
        <w:pStyle w:val="11"/>
        <w:spacing w:before="11"/>
        <w:rPr>
          <w:b/>
          <w:sz w:val="38"/>
        </w:rPr>
      </w:pPr>
    </w:p>
    <w:p>
      <w:pPr>
        <w:pStyle w:val="11"/>
        <w:tabs>
          <w:tab w:val="left" w:pos="5167"/>
          <w:tab w:val="left" w:pos="9345"/>
          <w:tab w:val="left" w:pos="9693"/>
        </w:tabs>
        <w:spacing w:line="364" w:lineRule="auto"/>
        <w:ind w:left="1268" w:right="1052" w:firstLine="38"/>
        <w:jc w:val="both"/>
        <w:rPr>
          <w:rFonts w:ascii="Times New Roman" w:eastAsia="Times New Roman"/>
        </w:rPr>
      </w:pPr>
      <w:r>
        <w:rPr>
          <w:spacing w:val="-1"/>
        </w:rPr>
        <w:t>单</w:t>
      </w:r>
      <w:r>
        <w:t>位名称：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w w:val="35"/>
          <w:u w:val="single"/>
        </w:rPr>
        <w:t xml:space="preserve"> </w:t>
      </w:r>
      <w:r>
        <w:rPr>
          <w:rFonts w:ascii="Times New Roman" w:eastAsia="Times New Roman"/>
          <w:spacing w:val="-1"/>
          <w:w w:val="35"/>
          <w:u w:val="single"/>
        </w:rPr>
        <w:t xml:space="preserve">                                                          </w:t>
      </w:r>
      <w:r>
        <w:rPr>
          <w:rFonts w:ascii="Times New Roman" w:eastAsia="Times New Roman"/>
          <w:spacing w:val="58"/>
          <w:w w:val="35"/>
          <w:u w:val="single"/>
        </w:rPr>
        <w:t xml:space="preserve"> </w:t>
      </w:r>
      <w:r>
        <w:rPr>
          <w:spacing w:val="-1"/>
        </w:rPr>
        <w:t>地</w:t>
      </w:r>
      <w:r>
        <w:t>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姓名：</w:t>
      </w:r>
      <w:r>
        <w:rPr>
          <w:u w:val="single"/>
        </w:rPr>
        <w:t xml:space="preserve"> </w:t>
      </w:r>
      <w:r>
        <w:rPr>
          <w:u w:val="single"/>
        </w:rPr>
        <w:tab/>
      </w:r>
      <w:r>
        <w:rPr>
          <w:spacing w:val="-1"/>
        </w:rPr>
        <w:t>性</w:t>
      </w:r>
      <w:r>
        <w:t>别：</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年龄：</w:t>
      </w:r>
      <w:r>
        <w:rPr>
          <w:u w:val="single"/>
        </w:rPr>
        <w:t xml:space="preserve"> </w:t>
      </w:r>
      <w:r>
        <w:rPr>
          <w:u w:val="single"/>
        </w:rPr>
        <w:tab/>
      </w:r>
      <w:r>
        <w:rPr>
          <w:spacing w:val="-1"/>
        </w:rPr>
        <w:t>职</w:t>
      </w:r>
      <w:r>
        <w:t>务：</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rPr>
          <w:spacing w:val="-20"/>
        </w:rPr>
        <w:t>身</w:t>
      </w:r>
      <w:r>
        <w:rPr>
          <w:spacing w:val="-22"/>
        </w:rPr>
        <w:t>份</w:t>
      </w:r>
      <w:r>
        <w:rPr>
          <w:spacing w:val="-20"/>
        </w:rPr>
        <w:t>证号</w:t>
      </w:r>
      <w:r>
        <w:rPr>
          <w:spacing w:val="-22"/>
        </w:rPr>
        <w:t>码</w:t>
      </w:r>
      <w:r>
        <w:rPr>
          <w:spacing w:val="-20"/>
        </w:rP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pStyle w:val="11"/>
        <w:tabs>
          <w:tab w:val="left" w:pos="2506"/>
          <w:tab w:val="left" w:pos="7305"/>
        </w:tabs>
        <w:spacing w:before="3"/>
        <w:ind w:left="1306"/>
        <w:jc w:val="both"/>
      </w:pPr>
      <w:r>
        <w:t>系</w:t>
      </w:r>
      <w:r>
        <w:rPr>
          <w:u w:val="single"/>
        </w:rPr>
        <w:t xml:space="preserve"> </w:t>
      </w:r>
      <w:r>
        <w:rPr>
          <w:u w:val="single"/>
        </w:rPr>
        <w:tab/>
      </w:r>
      <w:r>
        <w:rPr>
          <w:u w:val="single"/>
        </w:rPr>
        <w:t>（投标人名称）</w:t>
      </w:r>
      <w:r>
        <w:rPr>
          <w:u w:val="single"/>
        </w:rPr>
        <w:tab/>
      </w:r>
      <w:r>
        <w:t>的法定代表人。</w:t>
      </w:r>
    </w:p>
    <w:p>
      <w:pPr>
        <w:pStyle w:val="11"/>
        <w:rPr>
          <w:sz w:val="26"/>
        </w:rPr>
      </w:pPr>
    </w:p>
    <w:p>
      <w:pPr>
        <w:pStyle w:val="11"/>
        <w:rPr>
          <w:sz w:val="26"/>
        </w:rPr>
      </w:pPr>
    </w:p>
    <w:p>
      <w:pPr>
        <w:pStyle w:val="11"/>
        <w:rPr>
          <w:sz w:val="26"/>
        </w:rPr>
      </w:pPr>
    </w:p>
    <w:p>
      <w:pPr>
        <w:pStyle w:val="11"/>
        <w:rPr>
          <w:sz w:val="26"/>
        </w:rPr>
      </w:pPr>
    </w:p>
    <w:p>
      <w:pPr>
        <w:pStyle w:val="11"/>
        <w:rPr>
          <w:sz w:val="26"/>
        </w:rPr>
      </w:pPr>
    </w:p>
    <w:p>
      <w:pPr>
        <w:pStyle w:val="11"/>
        <w:rPr>
          <w:sz w:val="26"/>
        </w:rPr>
      </w:pPr>
    </w:p>
    <w:p>
      <w:pPr>
        <w:pStyle w:val="11"/>
        <w:rPr>
          <w:sz w:val="26"/>
        </w:rPr>
      </w:pPr>
    </w:p>
    <w:p>
      <w:pPr>
        <w:pStyle w:val="11"/>
        <w:rPr>
          <w:sz w:val="26"/>
        </w:rPr>
      </w:pPr>
    </w:p>
    <w:p>
      <w:pPr>
        <w:pStyle w:val="11"/>
        <w:rPr>
          <w:sz w:val="26"/>
        </w:rPr>
      </w:pPr>
    </w:p>
    <w:p>
      <w:pPr>
        <w:pStyle w:val="11"/>
        <w:rPr>
          <w:sz w:val="26"/>
        </w:rPr>
      </w:pPr>
    </w:p>
    <w:p>
      <w:pPr>
        <w:pStyle w:val="11"/>
        <w:rPr>
          <w:sz w:val="26"/>
        </w:rPr>
      </w:pPr>
    </w:p>
    <w:p>
      <w:pPr>
        <w:pStyle w:val="11"/>
        <w:rPr>
          <w:sz w:val="26"/>
        </w:rPr>
      </w:pPr>
    </w:p>
    <w:p>
      <w:pPr>
        <w:pStyle w:val="11"/>
        <w:rPr>
          <w:sz w:val="26"/>
        </w:rPr>
      </w:pPr>
    </w:p>
    <w:p>
      <w:pPr>
        <w:pStyle w:val="11"/>
        <w:rPr>
          <w:sz w:val="26"/>
        </w:rPr>
      </w:pPr>
    </w:p>
    <w:p>
      <w:pPr>
        <w:pStyle w:val="11"/>
        <w:spacing w:before="6"/>
        <w:rPr>
          <w:sz w:val="30"/>
        </w:rPr>
      </w:pPr>
    </w:p>
    <w:p>
      <w:pPr>
        <w:pStyle w:val="11"/>
        <w:ind w:left="5986"/>
      </w:pPr>
      <w:r>
        <w:t>投标人：（公章）</w:t>
      </w:r>
    </w:p>
    <w:p>
      <w:pPr>
        <w:pStyle w:val="11"/>
      </w:pPr>
    </w:p>
    <w:p>
      <w:pPr>
        <w:pStyle w:val="11"/>
      </w:pPr>
    </w:p>
    <w:p>
      <w:pPr>
        <w:pStyle w:val="11"/>
        <w:spacing w:before="3"/>
        <w:rPr>
          <w:sz w:val="19"/>
        </w:rPr>
      </w:pPr>
    </w:p>
    <w:p>
      <w:pPr>
        <w:pStyle w:val="11"/>
        <w:tabs>
          <w:tab w:val="left" w:pos="599"/>
          <w:tab w:val="left" w:pos="1199"/>
        </w:tabs>
        <w:ind w:right="2037"/>
        <w:jc w:val="right"/>
      </w:pPr>
      <w:r>
        <w:t>年</w:t>
      </w:r>
      <w:r>
        <w:tab/>
      </w:r>
      <w:r>
        <w:t>月</w:t>
      </w:r>
      <w:r>
        <w:tab/>
      </w:r>
      <w:r>
        <w:t>日</w:t>
      </w:r>
    </w:p>
    <w:p>
      <w:pPr>
        <w:spacing w:after="0"/>
        <w:jc w:val="right"/>
        <w:sectPr>
          <w:pgSz w:w="11910" w:h="16840"/>
          <w:pgMar w:top="1580" w:right="360" w:bottom="1300" w:left="760" w:header="0" w:footer="1109" w:gutter="0"/>
        </w:sectPr>
      </w:pPr>
    </w:p>
    <w:p>
      <w:pPr>
        <w:spacing w:before="43"/>
        <w:ind w:left="1040" w:right="0" w:firstLine="0"/>
        <w:jc w:val="left"/>
        <w:rPr>
          <w:sz w:val="21"/>
        </w:rPr>
      </w:pPr>
      <w:r>
        <w:rPr>
          <w:sz w:val="21"/>
        </w:rPr>
        <w:t>附件二-3</w:t>
      </w:r>
    </w:p>
    <w:p>
      <w:pPr>
        <w:pStyle w:val="11"/>
        <w:spacing w:before="3"/>
        <w:rPr>
          <w:sz w:val="15"/>
        </w:rPr>
      </w:pPr>
    </w:p>
    <w:p>
      <w:pPr>
        <w:pStyle w:val="5"/>
      </w:pPr>
      <w:r>
        <w:t>项目监理人员配备表</w:t>
      </w:r>
    </w:p>
    <w:p>
      <w:pPr>
        <w:pStyle w:val="11"/>
        <w:spacing w:before="3"/>
        <w:rPr>
          <w:b/>
          <w:sz w:val="8"/>
        </w:rPr>
      </w:pPr>
    </w:p>
    <w:tbl>
      <w:tblPr>
        <w:tblStyle w:val="12"/>
        <w:tblW w:w="0" w:type="auto"/>
        <w:tblInd w:w="9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8"/>
        <w:gridCol w:w="1350"/>
        <w:gridCol w:w="3232"/>
        <w:gridCol w:w="24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1738" w:type="dxa"/>
          </w:tcPr>
          <w:p>
            <w:pPr>
              <w:pStyle w:val="19"/>
              <w:spacing w:before="10"/>
              <w:rPr>
                <w:b/>
                <w:sz w:val="27"/>
              </w:rPr>
            </w:pPr>
          </w:p>
          <w:p>
            <w:pPr>
              <w:pStyle w:val="19"/>
              <w:ind w:left="388"/>
              <w:rPr>
                <w:sz w:val="24"/>
              </w:rPr>
            </w:pPr>
            <w:r>
              <w:rPr>
                <w:sz w:val="24"/>
              </w:rPr>
              <w:t>岗位名称</w:t>
            </w:r>
          </w:p>
        </w:tc>
        <w:tc>
          <w:tcPr>
            <w:tcW w:w="1350" w:type="dxa"/>
          </w:tcPr>
          <w:p>
            <w:pPr>
              <w:pStyle w:val="19"/>
              <w:spacing w:before="10"/>
              <w:rPr>
                <w:b/>
                <w:sz w:val="27"/>
              </w:rPr>
            </w:pPr>
          </w:p>
          <w:p>
            <w:pPr>
              <w:pStyle w:val="19"/>
              <w:tabs>
                <w:tab w:val="left" w:pos="793"/>
              </w:tabs>
              <w:ind w:left="313"/>
              <w:rPr>
                <w:sz w:val="24"/>
              </w:rPr>
            </w:pPr>
            <w:r>
              <w:rPr>
                <w:sz w:val="24"/>
              </w:rPr>
              <w:t>姓</w:t>
            </w:r>
            <w:r>
              <w:rPr>
                <w:sz w:val="24"/>
              </w:rPr>
              <w:tab/>
            </w:r>
            <w:r>
              <w:rPr>
                <w:sz w:val="24"/>
              </w:rPr>
              <w:t>名</w:t>
            </w:r>
          </w:p>
        </w:tc>
        <w:tc>
          <w:tcPr>
            <w:tcW w:w="3232" w:type="dxa"/>
          </w:tcPr>
          <w:p>
            <w:pPr>
              <w:pStyle w:val="19"/>
              <w:spacing w:before="10"/>
              <w:rPr>
                <w:b/>
                <w:sz w:val="27"/>
              </w:rPr>
            </w:pPr>
          </w:p>
          <w:p>
            <w:pPr>
              <w:pStyle w:val="19"/>
              <w:ind w:left="535"/>
              <w:rPr>
                <w:sz w:val="24"/>
              </w:rPr>
            </w:pPr>
            <w:r>
              <w:rPr>
                <w:sz w:val="24"/>
              </w:rPr>
              <w:t>资格证书名称及证号</w:t>
            </w:r>
          </w:p>
        </w:tc>
        <w:tc>
          <w:tcPr>
            <w:tcW w:w="2441" w:type="dxa"/>
          </w:tcPr>
          <w:p>
            <w:pPr>
              <w:pStyle w:val="19"/>
              <w:spacing w:before="10"/>
              <w:rPr>
                <w:b/>
                <w:sz w:val="27"/>
              </w:rPr>
            </w:pPr>
          </w:p>
          <w:p>
            <w:pPr>
              <w:pStyle w:val="19"/>
              <w:ind w:left="620"/>
              <w:rPr>
                <w:sz w:val="24"/>
              </w:rPr>
            </w:pPr>
            <w:r>
              <w:rPr>
                <w:sz w:val="24"/>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738" w:type="dxa"/>
          </w:tcPr>
          <w:p>
            <w:pPr>
              <w:pStyle w:val="19"/>
              <w:rPr>
                <w:rFonts w:ascii="Times New Roman"/>
                <w:sz w:val="24"/>
              </w:rPr>
            </w:pPr>
          </w:p>
        </w:tc>
        <w:tc>
          <w:tcPr>
            <w:tcW w:w="1350" w:type="dxa"/>
          </w:tcPr>
          <w:p>
            <w:pPr>
              <w:pStyle w:val="19"/>
              <w:rPr>
                <w:rFonts w:ascii="Times New Roman"/>
                <w:sz w:val="24"/>
              </w:rPr>
            </w:pPr>
          </w:p>
        </w:tc>
        <w:tc>
          <w:tcPr>
            <w:tcW w:w="3232" w:type="dxa"/>
          </w:tcPr>
          <w:p>
            <w:pPr>
              <w:pStyle w:val="19"/>
              <w:rPr>
                <w:rFonts w:ascii="Times New Roman"/>
                <w:sz w:val="24"/>
              </w:rPr>
            </w:pPr>
          </w:p>
        </w:tc>
        <w:tc>
          <w:tcPr>
            <w:tcW w:w="244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1738" w:type="dxa"/>
          </w:tcPr>
          <w:p>
            <w:pPr>
              <w:pStyle w:val="19"/>
              <w:rPr>
                <w:rFonts w:ascii="Times New Roman"/>
                <w:sz w:val="24"/>
              </w:rPr>
            </w:pPr>
          </w:p>
        </w:tc>
        <w:tc>
          <w:tcPr>
            <w:tcW w:w="1350" w:type="dxa"/>
          </w:tcPr>
          <w:p>
            <w:pPr>
              <w:pStyle w:val="19"/>
              <w:rPr>
                <w:rFonts w:ascii="Times New Roman"/>
                <w:sz w:val="24"/>
              </w:rPr>
            </w:pPr>
          </w:p>
        </w:tc>
        <w:tc>
          <w:tcPr>
            <w:tcW w:w="3232" w:type="dxa"/>
          </w:tcPr>
          <w:p>
            <w:pPr>
              <w:pStyle w:val="19"/>
              <w:rPr>
                <w:rFonts w:ascii="Times New Roman"/>
                <w:sz w:val="24"/>
              </w:rPr>
            </w:pPr>
          </w:p>
        </w:tc>
        <w:tc>
          <w:tcPr>
            <w:tcW w:w="244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1738" w:type="dxa"/>
          </w:tcPr>
          <w:p>
            <w:pPr>
              <w:pStyle w:val="19"/>
              <w:rPr>
                <w:rFonts w:ascii="Times New Roman"/>
                <w:sz w:val="24"/>
              </w:rPr>
            </w:pPr>
          </w:p>
        </w:tc>
        <w:tc>
          <w:tcPr>
            <w:tcW w:w="1350" w:type="dxa"/>
          </w:tcPr>
          <w:p>
            <w:pPr>
              <w:pStyle w:val="19"/>
              <w:rPr>
                <w:rFonts w:ascii="Times New Roman"/>
                <w:sz w:val="24"/>
              </w:rPr>
            </w:pPr>
          </w:p>
        </w:tc>
        <w:tc>
          <w:tcPr>
            <w:tcW w:w="3232" w:type="dxa"/>
          </w:tcPr>
          <w:p>
            <w:pPr>
              <w:pStyle w:val="19"/>
              <w:rPr>
                <w:rFonts w:ascii="Times New Roman"/>
                <w:sz w:val="24"/>
              </w:rPr>
            </w:pPr>
          </w:p>
        </w:tc>
        <w:tc>
          <w:tcPr>
            <w:tcW w:w="244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738" w:type="dxa"/>
          </w:tcPr>
          <w:p>
            <w:pPr>
              <w:pStyle w:val="19"/>
              <w:rPr>
                <w:rFonts w:ascii="Times New Roman"/>
                <w:sz w:val="24"/>
              </w:rPr>
            </w:pPr>
          </w:p>
        </w:tc>
        <w:tc>
          <w:tcPr>
            <w:tcW w:w="1350" w:type="dxa"/>
          </w:tcPr>
          <w:p>
            <w:pPr>
              <w:pStyle w:val="19"/>
              <w:rPr>
                <w:rFonts w:ascii="Times New Roman"/>
                <w:sz w:val="24"/>
              </w:rPr>
            </w:pPr>
          </w:p>
        </w:tc>
        <w:tc>
          <w:tcPr>
            <w:tcW w:w="3232" w:type="dxa"/>
          </w:tcPr>
          <w:p>
            <w:pPr>
              <w:pStyle w:val="19"/>
              <w:rPr>
                <w:rFonts w:ascii="Times New Roman"/>
                <w:sz w:val="24"/>
              </w:rPr>
            </w:pPr>
          </w:p>
        </w:tc>
        <w:tc>
          <w:tcPr>
            <w:tcW w:w="244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738" w:type="dxa"/>
          </w:tcPr>
          <w:p>
            <w:pPr>
              <w:pStyle w:val="19"/>
              <w:rPr>
                <w:rFonts w:ascii="Times New Roman"/>
                <w:sz w:val="24"/>
              </w:rPr>
            </w:pPr>
          </w:p>
        </w:tc>
        <w:tc>
          <w:tcPr>
            <w:tcW w:w="1350" w:type="dxa"/>
          </w:tcPr>
          <w:p>
            <w:pPr>
              <w:pStyle w:val="19"/>
              <w:rPr>
                <w:rFonts w:ascii="Times New Roman"/>
                <w:sz w:val="24"/>
              </w:rPr>
            </w:pPr>
          </w:p>
        </w:tc>
        <w:tc>
          <w:tcPr>
            <w:tcW w:w="3232" w:type="dxa"/>
          </w:tcPr>
          <w:p>
            <w:pPr>
              <w:pStyle w:val="19"/>
              <w:rPr>
                <w:rFonts w:ascii="Times New Roman"/>
                <w:sz w:val="24"/>
              </w:rPr>
            </w:pPr>
          </w:p>
        </w:tc>
        <w:tc>
          <w:tcPr>
            <w:tcW w:w="244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738" w:type="dxa"/>
          </w:tcPr>
          <w:p>
            <w:pPr>
              <w:pStyle w:val="19"/>
              <w:rPr>
                <w:rFonts w:ascii="Times New Roman"/>
                <w:sz w:val="24"/>
              </w:rPr>
            </w:pPr>
          </w:p>
        </w:tc>
        <w:tc>
          <w:tcPr>
            <w:tcW w:w="1350" w:type="dxa"/>
          </w:tcPr>
          <w:p>
            <w:pPr>
              <w:pStyle w:val="19"/>
              <w:rPr>
                <w:rFonts w:ascii="Times New Roman"/>
                <w:sz w:val="24"/>
              </w:rPr>
            </w:pPr>
          </w:p>
        </w:tc>
        <w:tc>
          <w:tcPr>
            <w:tcW w:w="3232" w:type="dxa"/>
          </w:tcPr>
          <w:p>
            <w:pPr>
              <w:pStyle w:val="19"/>
              <w:rPr>
                <w:rFonts w:ascii="Times New Roman"/>
                <w:sz w:val="24"/>
              </w:rPr>
            </w:pPr>
          </w:p>
        </w:tc>
        <w:tc>
          <w:tcPr>
            <w:tcW w:w="244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1738" w:type="dxa"/>
          </w:tcPr>
          <w:p>
            <w:pPr>
              <w:pStyle w:val="19"/>
              <w:rPr>
                <w:rFonts w:ascii="Times New Roman"/>
                <w:sz w:val="24"/>
              </w:rPr>
            </w:pPr>
          </w:p>
        </w:tc>
        <w:tc>
          <w:tcPr>
            <w:tcW w:w="1350" w:type="dxa"/>
          </w:tcPr>
          <w:p>
            <w:pPr>
              <w:pStyle w:val="19"/>
              <w:rPr>
                <w:rFonts w:ascii="Times New Roman"/>
                <w:sz w:val="24"/>
              </w:rPr>
            </w:pPr>
          </w:p>
        </w:tc>
        <w:tc>
          <w:tcPr>
            <w:tcW w:w="3232" w:type="dxa"/>
          </w:tcPr>
          <w:p>
            <w:pPr>
              <w:pStyle w:val="19"/>
              <w:rPr>
                <w:rFonts w:ascii="Times New Roman"/>
                <w:sz w:val="24"/>
              </w:rPr>
            </w:pPr>
          </w:p>
        </w:tc>
        <w:tc>
          <w:tcPr>
            <w:tcW w:w="244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738" w:type="dxa"/>
          </w:tcPr>
          <w:p>
            <w:pPr>
              <w:pStyle w:val="19"/>
              <w:rPr>
                <w:rFonts w:ascii="Times New Roman"/>
                <w:sz w:val="24"/>
              </w:rPr>
            </w:pPr>
          </w:p>
        </w:tc>
        <w:tc>
          <w:tcPr>
            <w:tcW w:w="1350" w:type="dxa"/>
          </w:tcPr>
          <w:p>
            <w:pPr>
              <w:pStyle w:val="19"/>
              <w:rPr>
                <w:rFonts w:ascii="Times New Roman"/>
                <w:sz w:val="24"/>
              </w:rPr>
            </w:pPr>
          </w:p>
        </w:tc>
        <w:tc>
          <w:tcPr>
            <w:tcW w:w="3232" w:type="dxa"/>
          </w:tcPr>
          <w:p>
            <w:pPr>
              <w:pStyle w:val="19"/>
              <w:rPr>
                <w:rFonts w:ascii="Times New Roman"/>
                <w:sz w:val="24"/>
              </w:rPr>
            </w:pPr>
          </w:p>
        </w:tc>
        <w:tc>
          <w:tcPr>
            <w:tcW w:w="244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738" w:type="dxa"/>
          </w:tcPr>
          <w:p>
            <w:pPr>
              <w:pStyle w:val="19"/>
              <w:rPr>
                <w:rFonts w:ascii="Times New Roman"/>
                <w:sz w:val="24"/>
              </w:rPr>
            </w:pPr>
          </w:p>
        </w:tc>
        <w:tc>
          <w:tcPr>
            <w:tcW w:w="1350" w:type="dxa"/>
          </w:tcPr>
          <w:p>
            <w:pPr>
              <w:pStyle w:val="19"/>
              <w:rPr>
                <w:rFonts w:ascii="Times New Roman"/>
                <w:sz w:val="24"/>
              </w:rPr>
            </w:pPr>
          </w:p>
        </w:tc>
        <w:tc>
          <w:tcPr>
            <w:tcW w:w="3232" w:type="dxa"/>
          </w:tcPr>
          <w:p>
            <w:pPr>
              <w:pStyle w:val="19"/>
              <w:rPr>
                <w:rFonts w:ascii="Times New Roman"/>
                <w:sz w:val="24"/>
              </w:rPr>
            </w:pPr>
          </w:p>
        </w:tc>
        <w:tc>
          <w:tcPr>
            <w:tcW w:w="244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738" w:type="dxa"/>
          </w:tcPr>
          <w:p>
            <w:pPr>
              <w:pStyle w:val="19"/>
              <w:rPr>
                <w:rFonts w:ascii="Times New Roman"/>
                <w:sz w:val="24"/>
              </w:rPr>
            </w:pPr>
          </w:p>
        </w:tc>
        <w:tc>
          <w:tcPr>
            <w:tcW w:w="1350" w:type="dxa"/>
          </w:tcPr>
          <w:p>
            <w:pPr>
              <w:pStyle w:val="19"/>
              <w:rPr>
                <w:rFonts w:ascii="Times New Roman"/>
                <w:sz w:val="24"/>
              </w:rPr>
            </w:pPr>
          </w:p>
        </w:tc>
        <w:tc>
          <w:tcPr>
            <w:tcW w:w="3232" w:type="dxa"/>
          </w:tcPr>
          <w:p>
            <w:pPr>
              <w:pStyle w:val="19"/>
              <w:rPr>
                <w:rFonts w:ascii="Times New Roman"/>
                <w:sz w:val="24"/>
              </w:rPr>
            </w:pPr>
          </w:p>
        </w:tc>
        <w:tc>
          <w:tcPr>
            <w:tcW w:w="2441" w:type="dxa"/>
          </w:tcPr>
          <w:p>
            <w:pPr>
              <w:pStyle w:val="19"/>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38" w:type="dxa"/>
          </w:tcPr>
          <w:p>
            <w:pPr>
              <w:pStyle w:val="19"/>
              <w:rPr>
                <w:rFonts w:ascii="Times New Roman"/>
                <w:sz w:val="24"/>
              </w:rPr>
            </w:pPr>
          </w:p>
        </w:tc>
        <w:tc>
          <w:tcPr>
            <w:tcW w:w="1350" w:type="dxa"/>
          </w:tcPr>
          <w:p>
            <w:pPr>
              <w:pStyle w:val="19"/>
              <w:rPr>
                <w:rFonts w:ascii="Times New Roman"/>
                <w:sz w:val="24"/>
              </w:rPr>
            </w:pPr>
          </w:p>
        </w:tc>
        <w:tc>
          <w:tcPr>
            <w:tcW w:w="3232" w:type="dxa"/>
          </w:tcPr>
          <w:p>
            <w:pPr>
              <w:pStyle w:val="19"/>
              <w:rPr>
                <w:rFonts w:ascii="Times New Roman"/>
                <w:sz w:val="24"/>
              </w:rPr>
            </w:pPr>
          </w:p>
        </w:tc>
        <w:tc>
          <w:tcPr>
            <w:tcW w:w="2441" w:type="dxa"/>
          </w:tcPr>
          <w:p>
            <w:pPr>
              <w:pStyle w:val="19"/>
              <w:rPr>
                <w:rFonts w:ascii="Times New Roman"/>
                <w:sz w:val="24"/>
              </w:rPr>
            </w:pPr>
          </w:p>
        </w:tc>
      </w:tr>
    </w:tbl>
    <w:p>
      <w:pPr>
        <w:pStyle w:val="11"/>
        <w:spacing w:before="53" w:line="440" w:lineRule="atLeast"/>
        <w:ind w:left="1592" w:right="1382" w:hanging="552"/>
      </w:pPr>
      <w:r>
        <w:rPr>
          <w:b/>
          <w:sz w:val="28"/>
        </w:rPr>
        <w:t>注：</w:t>
      </w:r>
      <w:r>
        <w:t>1、投标人应当对填报的项目监理人员的资料真实性负责，不得弄虚作假。2、项目监理人员须为投标人本企业在职职员，相关证书不能反映工作单位</w:t>
      </w:r>
    </w:p>
    <w:p>
      <w:pPr>
        <w:pStyle w:val="11"/>
        <w:spacing w:before="7"/>
        <w:ind w:left="1040"/>
      </w:pPr>
      <w:r>
        <w:t>的，还须提供</w:t>
      </w:r>
      <w:r>
        <w:rPr>
          <w:u w:val="single"/>
        </w:rPr>
        <w:t>劳动合同复印件</w:t>
      </w:r>
      <w:r>
        <w:t>。</w:t>
      </w:r>
    </w:p>
    <w:p>
      <w:pPr>
        <w:pStyle w:val="11"/>
      </w:pPr>
    </w:p>
    <w:p>
      <w:pPr>
        <w:pStyle w:val="11"/>
      </w:pPr>
    </w:p>
    <w:p>
      <w:pPr>
        <w:pStyle w:val="11"/>
        <w:spacing w:before="2"/>
        <w:rPr>
          <w:sz w:val="19"/>
        </w:rPr>
      </w:pPr>
    </w:p>
    <w:p>
      <w:pPr>
        <w:pStyle w:val="11"/>
        <w:ind w:left="1385" w:right="251"/>
        <w:jc w:val="center"/>
      </w:pPr>
      <w:r>
        <w:t>投标人：（公章）</w:t>
      </w:r>
    </w:p>
    <w:p>
      <w:pPr>
        <w:pStyle w:val="11"/>
        <w:rPr>
          <w:sz w:val="20"/>
        </w:rPr>
      </w:pPr>
    </w:p>
    <w:p>
      <w:pPr>
        <w:pStyle w:val="11"/>
        <w:spacing w:before="12"/>
        <w:rPr>
          <w:sz w:val="17"/>
        </w:rPr>
      </w:pPr>
    </w:p>
    <w:p>
      <w:pPr>
        <w:pStyle w:val="11"/>
        <w:spacing w:before="66"/>
        <w:ind w:left="4532"/>
      </w:pPr>
      <w:r>
        <w:t>法定代表人（签名或盖章）：</w:t>
      </w:r>
    </w:p>
    <w:p>
      <w:pPr>
        <w:pStyle w:val="11"/>
        <w:tabs>
          <w:tab w:val="left" w:pos="8599"/>
          <w:tab w:val="left" w:pos="9079"/>
        </w:tabs>
        <w:spacing w:before="81"/>
        <w:ind w:left="8000"/>
      </w:pPr>
      <w:r>
        <w:t>年</w:t>
      </w:r>
      <w:r>
        <w:tab/>
      </w:r>
      <w:r>
        <w:t>月</w:t>
      </w:r>
      <w:r>
        <w:tab/>
      </w:r>
      <w:r>
        <w:t>日</w:t>
      </w:r>
    </w:p>
    <w:p>
      <w:pPr>
        <w:spacing w:after="0"/>
        <w:sectPr>
          <w:pgSz w:w="11910" w:h="16840"/>
          <w:pgMar w:top="1400" w:right="360" w:bottom="1300" w:left="760" w:header="0" w:footer="1109" w:gutter="0"/>
        </w:sectPr>
      </w:pPr>
    </w:p>
    <w:p>
      <w:pPr>
        <w:spacing w:before="43"/>
        <w:ind w:left="1040" w:right="0" w:firstLine="0"/>
        <w:jc w:val="left"/>
        <w:rPr>
          <w:sz w:val="21"/>
        </w:rPr>
      </w:pPr>
      <w:r>
        <w:rPr>
          <w:sz w:val="21"/>
        </w:rPr>
        <w:t>附件二-4</w:t>
      </w:r>
    </w:p>
    <w:p>
      <w:pPr>
        <w:pStyle w:val="11"/>
        <w:rPr>
          <w:sz w:val="20"/>
        </w:rPr>
      </w:pPr>
    </w:p>
    <w:p>
      <w:pPr>
        <w:pStyle w:val="11"/>
        <w:rPr>
          <w:sz w:val="20"/>
        </w:rPr>
      </w:pPr>
    </w:p>
    <w:p>
      <w:pPr>
        <w:pStyle w:val="11"/>
        <w:spacing w:before="8"/>
        <w:rPr>
          <w:sz w:val="14"/>
        </w:rPr>
      </w:pPr>
    </w:p>
    <w:p>
      <w:pPr>
        <w:pStyle w:val="6"/>
        <w:spacing w:before="54"/>
      </w:pPr>
      <w:r>
        <w:t>本工程拟投入主要检测工具、设备一览表</w:t>
      </w:r>
    </w:p>
    <w:p>
      <w:pPr>
        <w:pStyle w:val="11"/>
        <w:rPr>
          <w:rFonts w:ascii="黑体"/>
          <w:sz w:val="20"/>
        </w:rPr>
      </w:pPr>
    </w:p>
    <w:p>
      <w:pPr>
        <w:pStyle w:val="11"/>
        <w:rPr>
          <w:rFonts w:ascii="黑体"/>
          <w:sz w:val="20"/>
        </w:rPr>
      </w:pPr>
    </w:p>
    <w:p>
      <w:pPr>
        <w:pStyle w:val="11"/>
        <w:spacing w:before="12"/>
        <w:rPr>
          <w:rFonts w:ascii="黑体"/>
          <w:sz w:val="16"/>
        </w:rPr>
      </w:pPr>
    </w:p>
    <w:tbl>
      <w:tblPr>
        <w:tblStyle w:val="12"/>
        <w:tblW w:w="0" w:type="auto"/>
        <w:tblInd w:w="14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01"/>
        <w:gridCol w:w="1406"/>
        <w:gridCol w:w="1440"/>
        <w:gridCol w:w="737"/>
        <w:gridCol w:w="1620"/>
        <w:gridCol w:w="1963"/>
        <w:gridCol w:w="1320"/>
        <w:gridCol w:w="104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3" w:hRule="atLeast"/>
        </w:trPr>
        <w:tc>
          <w:tcPr>
            <w:tcW w:w="601" w:type="dxa"/>
            <w:tcBorders>
              <w:bottom w:val="single" w:color="000000" w:sz="8" w:space="0"/>
              <w:right w:val="single" w:color="000000" w:sz="8" w:space="0"/>
            </w:tcBorders>
          </w:tcPr>
          <w:p>
            <w:pPr>
              <w:pStyle w:val="19"/>
              <w:spacing w:before="48" w:line="242" w:lineRule="auto"/>
              <w:ind w:left="179" w:right="156"/>
              <w:rPr>
                <w:sz w:val="24"/>
              </w:rPr>
            </w:pPr>
            <w:r>
              <w:rPr>
                <w:sz w:val="24"/>
              </w:rPr>
              <w:t>序号</w:t>
            </w:r>
          </w:p>
        </w:tc>
        <w:tc>
          <w:tcPr>
            <w:tcW w:w="1406" w:type="dxa"/>
            <w:tcBorders>
              <w:left w:val="single" w:color="000000" w:sz="8" w:space="0"/>
              <w:bottom w:val="single" w:color="000000" w:sz="8" w:space="0"/>
              <w:right w:val="single" w:color="000000" w:sz="8" w:space="0"/>
            </w:tcBorders>
          </w:tcPr>
          <w:p>
            <w:pPr>
              <w:pStyle w:val="19"/>
              <w:spacing w:before="204"/>
              <w:ind w:left="226"/>
              <w:rPr>
                <w:sz w:val="24"/>
              </w:rPr>
            </w:pPr>
            <w:r>
              <w:rPr>
                <w:sz w:val="24"/>
              </w:rPr>
              <w:t>设备名称</w:t>
            </w:r>
          </w:p>
        </w:tc>
        <w:tc>
          <w:tcPr>
            <w:tcW w:w="1440" w:type="dxa"/>
            <w:tcBorders>
              <w:left w:val="single" w:color="000000" w:sz="8" w:space="0"/>
              <w:bottom w:val="single" w:color="000000" w:sz="8" w:space="0"/>
              <w:right w:val="single" w:color="000000" w:sz="8" w:space="0"/>
            </w:tcBorders>
          </w:tcPr>
          <w:p>
            <w:pPr>
              <w:pStyle w:val="19"/>
              <w:spacing w:before="204"/>
              <w:ind w:left="243"/>
              <w:rPr>
                <w:sz w:val="24"/>
              </w:rPr>
            </w:pPr>
            <w:r>
              <w:rPr>
                <w:sz w:val="24"/>
              </w:rPr>
              <w:t>规格型号</w:t>
            </w:r>
          </w:p>
        </w:tc>
        <w:tc>
          <w:tcPr>
            <w:tcW w:w="737" w:type="dxa"/>
            <w:tcBorders>
              <w:left w:val="single" w:color="000000" w:sz="8" w:space="0"/>
              <w:bottom w:val="single" w:color="000000" w:sz="8" w:space="0"/>
              <w:right w:val="single" w:color="000000" w:sz="8" w:space="0"/>
            </w:tcBorders>
          </w:tcPr>
          <w:p>
            <w:pPr>
              <w:pStyle w:val="19"/>
              <w:spacing w:before="204"/>
              <w:ind w:left="133"/>
              <w:rPr>
                <w:sz w:val="24"/>
              </w:rPr>
            </w:pPr>
            <w:r>
              <w:rPr>
                <w:sz w:val="24"/>
              </w:rPr>
              <w:t>数量</w:t>
            </w:r>
          </w:p>
        </w:tc>
        <w:tc>
          <w:tcPr>
            <w:tcW w:w="1620" w:type="dxa"/>
            <w:tcBorders>
              <w:left w:val="single" w:color="000000" w:sz="8" w:space="0"/>
              <w:bottom w:val="single" w:color="000000" w:sz="8" w:space="0"/>
              <w:right w:val="single" w:color="000000" w:sz="8" w:space="0"/>
            </w:tcBorders>
          </w:tcPr>
          <w:p>
            <w:pPr>
              <w:pStyle w:val="19"/>
              <w:spacing w:before="204"/>
              <w:ind w:left="334"/>
              <w:rPr>
                <w:sz w:val="24"/>
              </w:rPr>
            </w:pPr>
            <w:r>
              <w:rPr>
                <w:sz w:val="24"/>
              </w:rPr>
              <w:t>设备能力</w:t>
            </w:r>
          </w:p>
        </w:tc>
        <w:tc>
          <w:tcPr>
            <w:tcW w:w="1963" w:type="dxa"/>
            <w:tcBorders>
              <w:left w:val="single" w:color="000000" w:sz="8" w:space="0"/>
              <w:bottom w:val="single" w:color="000000" w:sz="8" w:space="0"/>
              <w:right w:val="single" w:color="000000" w:sz="8" w:space="0"/>
            </w:tcBorders>
          </w:tcPr>
          <w:p>
            <w:pPr>
              <w:pStyle w:val="19"/>
              <w:spacing w:before="204"/>
              <w:ind w:left="504"/>
              <w:rPr>
                <w:sz w:val="24"/>
              </w:rPr>
            </w:pPr>
            <w:r>
              <w:rPr>
                <w:sz w:val="24"/>
              </w:rPr>
              <w:t>进场时间</w:t>
            </w:r>
          </w:p>
        </w:tc>
        <w:tc>
          <w:tcPr>
            <w:tcW w:w="1320" w:type="dxa"/>
            <w:tcBorders>
              <w:left w:val="single" w:color="000000" w:sz="8" w:space="0"/>
              <w:bottom w:val="single" w:color="000000" w:sz="8" w:space="0"/>
              <w:right w:val="single" w:color="000000" w:sz="8" w:space="0"/>
            </w:tcBorders>
          </w:tcPr>
          <w:p>
            <w:pPr>
              <w:pStyle w:val="19"/>
              <w:spacing w:before="204"/>
              <w:ind w:left="183"/>
              <w:rPr>
                <w:sz w:val="24"/>
              </w:rPr>
            </w:pPr>
            <w:r>
              <w:rPr>
                <w:sz w:val="24"/>
              </w:rPr>
              <w:t>设备来源</w:t>
            </w:r>
          </w:p>
        </w:tc>
        <w:tc>
          <w:tcPr>
            <w:tcW w:w="1046" w:type="dxa"/>
            <w:tcBorders>
              <w:left w:val="single" w:color="000000" w:sz="8" w:space="0"/>
              <w:bottom w:val="single" w:color="000000" w:sz="8" w:space="0"/>
            </w:tcBorders>
          </w:tcPr>
          <w:p>
            <w:pPr>
              <w:pStyle w:val="19"/>
              <w:spacing w:before="204"/>
              <w:ind w:left="286"/>
              <w:rPr>
                <w:sz w:val="24"/>
              </w:rPr>
            </w:pPr>
            <w:r>
              <w:rPr>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trPr>
        <w:tc>
          <w:tcPr>
            <w:tcW w:w="601" w:type="dxa"/>
            <w:tcBorders>
              <w:top w:val="single" w:color="000000" w:sz="8" w:space="0"/>
              <w:bottom w:val="single" w:color="000000" w:sz="8" w:space="0"/>
              <w:right w:val="single" w:color="000000" w:sz="8" w:space="0"/>
            </w:tcBorders>
          </w:tcPr>
          <w:p>
            <w:pPr>
              <w:pStyle w:val="19"/>
              <w:rPr>
                <w:rFonts w:ascii="Times New Roman"/>
                <w:sz w:val="26"/>
              </w:rPr>
            </w:pPr>
          </w:p>
        </w:tc>
        <w:tc>
          <w:tcPr>
            <w:tcW w:w="1406"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44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737"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6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963"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3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046" w:type="dxa"/>
            <w:tcBorders>
              <w:top w:val="single" w:color="000000" w:sz="8" w:space="0"/>
              <w:left w:val="single" w:color="000000" w:sz="8" w:space="0"/>
              <w:bottom w:val="single" w:color="000000" w:sz="8" w:space="0"/>
            </w:tcBorders>
          </w:tcPr>
          <w:p>
            <w:pPr>
              <w:pStyle w:val="19"/>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trPr>
        <w:tc>
          <w:tcPr>
            <w:tcW w:w="601" w:type="dxa"/>
            <w:tcBorders>
              <w:top w:val="single" w:color="000000" w:sz="8" w:space="0"/>
              <w:bottom w:val="single" w:color="000000" w:sz="8" w:space="0"/>
              <w:right w:val="single" w:color="000000" w:sz="8" w:space="0"/>
            </w:tcBorders>
          </w:tcPr>
          <w:p>
            <w:pPr>
              <w:pStyle w:val="19"/>
              <w:rPr>
                <w:rFonts w:ascii="Times New Roman"/>
                <w:sz w:val="26"/>
              </w:rPr>
            </w:pPr>
          </w:p>
        </w:tc>
        <w:tc>
          <w:tcPr>
            <w:tcW w:w="1406"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44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737"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6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963"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3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046" w:type="dxa"/>
            <w:tcBorders>
              <w:top w:val="single" w:color="000000" w:sz="8" w:space="0"/>
              <w:left w:val="single" w:color="000000" w:sz="8" w:space="0"/>
              <w:bottom w:val="single" w:color="000000" w:sz="8" w:space="0"/>
            </w:tcBorders>
          </w:tcPr>
          <w:p>
            <w:pPr>
              <w:pStyle w:val="19"/>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trPr>
        <w:tc>
          <w:tcPr>
            <w:tcW w:w="601" w:type="dxa"/>
            <w:tcBorders>
              <w:top w:val="single" w:color="000000" w:sz="8" w:space="0"/>
              <w:bottom w:val="single" w:color="000000" w:sz="8" w:space="0"/>
              <w:right w:val="single" w:color="000000" w:sz="8" w:space="0"/>
            </w:tcBorders>
          </w:tcPr>
          <w:p>
            <w:pPr>
              <w:pStyle w:val="19"/>
              <w:rPr>
                <w:rFonts w:ascii="Times New Roman"/>
                <w:sz w:val="26"/>
              </w:rPr>
            </w:pPr>
          </w:p>
        </w:tc>
        <w:tc>
          <w:tcPr>
            <w:tcW w:w="1406"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44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737"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6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963"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3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046" w:type="dxa"/>
            <w:tcBorders>
              <w:top w:val="single" w:color="000000" w:sz="8" w:space="0"/>
              <w:left w:val="single" w:color="000000" w:sz="8" w:space="0"/>
              <w:bottom w:val="single" w:color="000000" w:sz="8" w:space="0"/>
            </w:tcBorders>
          </w:tcPr>
          <w:p>
            <w:pPr>
              <w:pStyle w:val="19"/>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3" w:hRule="atLeast"/>
        </w:trPr>
        <w:tc>
          <w:tcPr>
            <w:tcW w:w="601" w:type="dxa"/>
            <w:tcBorders>
              <w:top w:val="single" w:color="000000" w:sz="8" w:space="0"/>
              <w:bottom w:val="single" w:color="000000" w:sz="8" w:space="0"/>
              <w:right w:val="single" w:color="000000" w:sz="8" w:space="0"/>
            </w:tcBorders>
          </w:tcPr>
          <w:p>
            <w:pPr>
              <w:pStyle w:val="19"/>
              <w:rPr>
                <w:rFonts w:ascii="Times New Roman"/>
                <w:sz w:val="26"/>
              </w:rPr>
            </w:pPr>
          </w:p>
        </w:tc>
        <w:tc>
          <w:tcPr>
            <w:tcW w:w="1406"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44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737"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6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963"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3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046" w:type="dxa"/>
            <w:tcBorders>
              <w:top w:val="single" w:color="000000" w:sz="8" w:space="0"/>
              <w:left w:val="single" w:color="000000" w:sz="8" w:space="0"/>
              <w:bottom w:val="single" w:color="000000" w:sz="8" w:space="0"/>
            </w:tcBorders>
          </w:tcPr>
          <w:p>
            <w:pPr>
              <w:pStyle w:val="19"/>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trPr>
        <w:tc>
          <w:tcPr>
            <w:tcW w:w="601" w:type="dxa"/>
            <w:tcBorders>
              <w:top w:val="single" w:color="000000" w:sz="8" w:space="0"/>
              <w:bottom w:val="single" w:color="000000" w:sz="8" w:space="0"/>
              <w:right w:val="single" w:color="000000" w:sz="8" w:space="0"/>
            </w:tcBorders>
          </w:tcPr>
          <w:p>
            <w:pPr>
              <w:pStyle w:val="19"/>
              <w:rPr>
                <w:rFonts w:ascii="Times New Roman"/>
                <w:sz w:val="26"/>
              </w:rPr>
            </w:pPr>
          </w:p>
        </w:tc>
        <w:tc>
          <w:tcPr>
            <w:tcW w:w="1406"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44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737"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6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963"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3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046" w:type="dxa"/>
            <w:tcBorders>
              <w:top w:val="single" w:color="000000" w:sz="8" w:space="0"/>
              <w:left w:val="single" w:color="000000" w:sz="8" w:space="0"/>
              <w:bottom w:val="single" w:color="000000" w:sz="8" w:space="0"/>
            </w:tcBorders>
          </w:tcPr>
          <w:p>
            <w:pPr>
              <w:pStyle w:val="19"/>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3" w:hRule="atLeast"/>
        </w:trPr>
        <w:tc>
          <w:tcPr>
            <w:tcW w:w="601" w:type="dxa"/>
            <w:tcBorders>
              <w:top w:val="single" w:color="000000" w:sz="8" w:space="0"/>
              <w:bottom w:val="single" w:color="000000" w:sz="8" w:space="0"/>
              <w:right w:val="single" w:color="000000" w:sz="8" w:space="0"/>
            </w:tcBorders>
          </w:tcPr>
          <w:p>
            <w:pPr>
              <w:pStyle w:val="19"/>
              <w:rPr>
                <w:rFonts w:ascii="Times New Roman"/>
                <w:sz w:val="26"/>
              </w:rPr>
            </w:pPr>
          </w:p>
        </w:tc>
        <w:tc>
          <w:tcPr>
            <w:tcW w:w="1406"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44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737"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6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963"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3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046" w:type="dxa"/>
            <w:tcBorders>
              <w:top w:val="single" w:color="000000" w:sz="8" w:space="0"/>
              <w:left w:val="single" w:color="000000" w:sz="8" w:space="0"/>
              <w:bottom w:val="single" w:color="000000" w:sz="8" w:space="0"/>
            </w:tcBorders>
          </w:tcPr>
          <w:p>
            <w:pPr>
              <w:pStyle w:val="19"/>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trPr>
        <w:tc>
          <w:tcPr>
            <w:tcW w:w="601" w:type="dxa"/>
            <w:tcBorders>
              <w:top w:val="single" w:color="000000" w:sz="8" w:space="0"/>
              <w:bottom w:val="single" w:color="000000" w:sz="8" w:space="0"/>
              <w:right w:val="single" w:color="000000" w:sz="8" w:space="0"/>
            </w:tcBorders>
          </w:tcPr>
          <w:p>
            <w:pPr>
              <w:pStyle w:val="19"/>
              <w:rPr>
                <w:rFonts w:ascii="Times New Roman"/>
                <w:sz w:val="26"/>
              </w:rPr>
            </w:pPr>
          </w:p>
        </w:tc>
        <w:tc>
          <w:tcPr>
            <w:tcW w:w="1406"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44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737"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6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963"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3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046" w:type="dxa"/>
            <w:tcBorders>
              <w:top w:val="single" w:color="000000" w:sz="8" w:space="0"/>
              <w:left w:val="single" w:color="000000" w:sz="8" w:space="0"/>
              <w:bottom w:val="single" w:color="000000" w:sz="8" w:space="0"/>
            </w:tcBorders>
          </w:tcPr>
          <w:p>
            <w:pPr>
              <w:pStyle w:val="19"/>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trPr>
        <w:tc>
          <w:tcPr>
            <w:tcW w:w="601" w:type="dxa"/>
            <w:tcBorders>
              <w:top w:val="single" w:color="000000" w:sz="8" w:space="0"/>
              <w:bottom w:val="single" w:color="000000" w:sz="8" w:space="0"/>
              <w:right w:val="single" w:color="000000" w:sz="8" w:space="0"/>
            </w:tcBorders>
          </w:tcPr>
          <w:p>
            <w:pPr>
              <w:pStyle w:val="19"/>
              <w:rPr>
                <w:rFonts w:ascii="Times New Roman"/>
                <w:sz w:val="26"/>
              </w:rPr>
            </w:pPr>
          </w:p>
        </w:tc>
        <w:tc>
          <w:tcPr>
            <w:tcW w:w="1406"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44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737"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6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963"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3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046" w:type="dxa"/>
            <w:tcBorders>
              <w:top w:val="single" w:color="000000" w:sz="8" w:space="0"/>
              <w:left w:val="single" w:color="000000" w:sz="8" w:space="0"/>
              <w:bottom w:val="single" w:color="000000" w:sz="8" w:space="0"/>
            </w:tcBorders>
          </w:tcPr>
          <w:p>
            <w:pPr>
              <w:pStyle w:val="19"/>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trPr>
        <w:tc>
          <w:tcPr>
            <w:tcW w:w="601" w:type="dxa"/>
            <w:tcBorders>
              <w:top w:val="single" w:color="000000" w:sz="8" w:space="0"/>
              <w:bottom w:val="single" w:color="000000" w:sz="8" w:space="0"/>
              <w:right w:val="single" w:color="000000" w:sz="8" w:space="0"/>
            </w:tcBorders>
          </w:tcPr>
          <w:p>
            <w:pPr>
              <w:pStyle w:val="19"/>
              <w:rPr>
                <w:rFonts w:ascii="Times New Roman"/>
                <w:sz w:val="26"/>
              </w:rPr>
            </w:pPr>
          </w:p>
        </w:tc>
        <w:tc>
          <w:tcPr>
            <w:tcW w:w="1406"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44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737"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6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963"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3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046" w:type="dxa"/>
            <w:tcBorders>
              <w:top w:val="single" w:color="000000" w:sz="8" w:space="0"/>
              <w:left w:val="single" w:color="000000" w:sz="8" w:space="0"/>
              <w:bottom w:val="single" w:color="000000" w:sz="8" w:space="0"/>
            </w:tcBorders>
          </w:tcPr>
          <w:p>
            <w:pPr>
              <w:pStyle w:val="19"/>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3" w:hRule="atLeast"/>
        </w:trPr>
        <w:tc>
          <w:tcPr>
            <w:tcW w:w="601" w:type="dxa"/>
            <w:tcBorders>
              <w:top w:val="single" w:color="000000" w:sz="8" w:space="0"/>
              <w:bottom w:val="single" w:color="000000" w:sz="8" w:space="0"/>
              <w:right w:val="single" w:color="000000" w:sz="8" w:space="0"/>
            </w:tcBorders>
          </w:tcPr>
          <w:p>
            <w:pPr>
              <w:pStyle w:val="19"/>
              <w:rPr>
                <w:rFonts w:ascii="Times New Roman"/>
                <w:sz w:val="26"/>
              </w:rPr>
            </w:pPr>
          </w:p>
        </w:tc>
        <w:tc>
          <w:tcPr>
            <w:tcW w:w="1406"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44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737"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6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963"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3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046" w:type="dxa"/>
            <w:tcBorders>
              <w:top w:val="single" w:color="000000" w:sz="8" w:space="0"/>
              <w:left w:val="single" w:color="000000" w:sz="8" w:space="0"/>
              <w:bottom w:val="single" w:color="000000" w:sz="8" w:space="0"/>
            </w:tcBorders>
          </w:tcPr>
          <w:p>
            <w:pPr>
              <w:pStyle w:val="19"/>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trPr>
        <w:tc>
          <w:tcPr>
            <w:tcW w:w="601" w:type="dxa"/>
            <w:tcBorders>
              <w:top w:val="single" w:color="000000" w:sz="8" w:space="0"/>
              <w:bottom w:val="single" w:color="000000" w:sz="8" w:space="0"/>
              <w:right w:val="single" w:color="000000" w:sz="8" w:space="0"/>
            </w:tcBorders>
          </w:tcPr>
          <w:p>
            <w:pPr>
              <w:pStyle w:val="19"/>
              <w:rPr>
                <w:rFonts w:ascii="Times New Roman"/>
                <w:sz w:val="26"/>
              </w:rPr>
            </w:pPr>
          </w:p>
        </w:tc>
        <w:tc>
          <w:tcPr>
            <w:tcW w:w="1406"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44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737"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6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963"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320" w:type="dxa"/>
            <w:tcBorders>
              <w:top w:val="single" w:color="000000" w:sz="8" w:space="0"/>
              <w:left w:val="single" w:color="000000" w:sz="8" w:space="0"/>
              <w:bottom w:val="single" w:color="000000" w:sz="8" w:space="0"/>
              <w:right w:val="single" w:color="000000" w:sz="8" w:space="0"/>
            </w:tcBorders>
          </w:tcPr>
          <w:p>
            <w:pPr>
              <w:pStyle w:val="19"/>
              <w:rPr>
                <w:rFonts w:ascii="Times New Roman"/>
                <w:sz w:val="26"/>
              </w:rPr>
            </w:pPr>
          </w:p>
        </w:tc>
        <w:tc>
          <w:tcPr>
            <w:tcW w:w="1046" w:type="dxa"/>
            <w:tcBorders>
              <w:top w:val="single" w:color="000000" w:sz="8" w:space="0"/>
              <w:left w:val="single" w:color="000000" w:sz="8" w:space="0"/>
              <w:bottom w:val="single" w:color="000000" w:sz="8" w:space="0"/>
            </w:tcBorders>
          </w:tcPr>
          <w:p>
            <w:pPr>
              <w:pStyle w:val="19"/>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trPr>
        <w:tc>
          <w:tcPr>
            <w:tcW w:w="601" w:type="dxa"/>
            <w:tcBorders>
              <w:top w:val="single" w:color="000000" w:sz="8" w:space="0"/>
              <w:right w:val="single" w:color="000000" w:sz="8" w:space="0"/>
            </w:tcBorders>
          </w:tcPr>
          <w:p>
            <w:pPr>
              <w:pStyle w:val="19"/>
              <w:rPr>
                <w:rFonts w:ascii="Times New Roman"/>
                <w:sz w:val="26"/>
              </w:rPr>
            </w:pPr>
          </w:p>
        </w:tc>
        <w:tc>
          <w:tcPr>
            <w:tcW w:w="1406" w:type="dxa"/>
            <w:tcBorders>
              <w:top w:val="single" w:color="000000" w:sz="8" w:space="0"/>
              <w:left w:val="single" w:color="000000" w:sz="8" w:space="0"/>
              <w:right w:val="single" w:color="000000" w:sz="8" w:space="0"/>
            </w:tcBorders>
          </w:tcPr>
          <w:p>
            <w:pPr>
              <w:pStyle w:val="19"/>
              <w:rPr>
                <w:rFonts w:ascii="Times New Roman"/>
                <w:sz w:val="26"/>
              </w:rPr>
            </w:pPr>
          </w:p>
        </w:tc>
        <w:tc>
          <w:tcPr>
            <w:tcW w:w="1440" w:type="dxa"/>
            <w:tcBorders>
              <w:top w:val="single" w:color="000000" w:sz="8" w:space="0"/>
              <w:left w:val="single" w:color="000000" w:sz="8" w:space="0"/>
              <w:right w:val="single" w:color="000000" w:sz="8" w:space="0"/>
            </w:tcBorders>
          </w:tcPr>
          <w:p>
            <w:pPr>
              <w:pStyle w:val="19"/>
              <w:rPr>
                <w:rFonts w:ascii="Times New Roman"/>
                <w:sz w:val="26"/>
              </w:rPr>
            </w:pPr>
          </w:p>
        </w:tc>
        <w:tc>
          <w:tcPr>
            <w:tcW w:w="737" w:type="dxa"/>
            <w:tcBorders>
              <w:top w:val="single" w:color="000000" w:sz="8" w:space="0"/>
              <w:left w:val="single" w:color="000000" w:sz="8" w:space="0"/>
              <w:right w:val="single" w:color="000000" w:sz="8" w:space="0"/>
            </w:tcBorders>
          </w:tcPr>
          <w:p>
            <w:pPr>
              <w:pStyle w:val="19"/>
              <w:rPr>
                <w:rFonts w:ascii="Times New Roman"/>
                <w:sz w:val="26"/>
              </w:rPr>
            </w:pPr>
          </w:p>
        </w:tc>
        <w:tc>
          <w:tcPr>
            <w:tcW w:w="1620" w:type="dxa"/>
            <w:tcBorders>
              <w:top w:val="single" w:color="000000" w:sz="8" w:space="0"/>
              <w:left w:val="single" w:color="000000" w:sz="8" w:space="0"/>
              <w:right w:val="single" w:color="000000" w:sz="8" w:space="0"/>
            </w:tcBorders>
          </w:tcPr>
          <w:p>
            <w:pPr>
              <w:pStyle w:val="19"/>
              <w:rPr>
                <w:rFonts w:ascii="Times New Roman"/>
                <w:sz w:val="26"/>
              </w:rPr>
            </w:pPr>
          </w:p>
        </w:tc>
        <w:tc>
          <w:tcPr>
            <w:tcW w:w="1963" w:type="dxa"/>
            <w:tcBorders>
              <w:top w:val="single" w:color="000000" w:sz="8" w:space="0"/>
              <w:left w:val="single" w:color="000000" w:sz="8" w:space="0"/>
              <w:right w:val="single" w:color="000000" w:sz="8" w:space="0"/>
            </w:tcBorders>
          </w:tcPr>
          <w:p>
            <w:pPr>
              <w:pStyle w:val="19"/>
              <w:rPr>
                <w:rFonts w:ascii="Times New Roman"/>
                <w:sz w:val="26"/>
              </w:rPr>
            </w:pPr>
          </w:p>
        </w:tc>
        <w:tc>
          <w:tcPr>
            <w:tcW w:w="1320" w:type="dxa"/>
            <w:tcBorders>
              <w:top w:val="single" w:color="000000" w:sz="8" w:space="0"/>
              <w:left w:val="single" w:color="000000" w:sz="8" w:space="0"/>
              <w:right w:val="single" w:color="000000" w:sz="8" w:space="0"/>
            </w:tcBorders>
          </w:tcPr>
          <w:p>
            <w:pPr>
              <w:pStyle w:val="19"/>
              <w:rPr>
                <w:rFonts w:ascii="Times New Roman"/>
                <w:sz w:val="26"/>
              </w:rPr>
            </w:pPr>
          </w:p>
        </w:tc>
        <w:tc>
          <w:tcPr>
            <w:tcW w:w="1046" w:type="dxa"/>
            <w:tcBorders>
              <w:top w:val="single" w:color="000000" w:sz="8" w:space="0"/>
              <w:left w:val="single" w:color="000000" w:sz="8" w:space="0"/>
            </w:tcBorders>
          </w:tcPr>
          <w:p>
            <w:pPr>
              <w:pStyle w:val="19"/>
              <w:rPr>
                <w:rFonts w:ascii="Times New Roman"/>
                <w:sz w:val="26"/>
              </w:rPr>
            </w:pPr>
          </w:p>
        </w:tc>
      </w:tr>
    </w:tbl>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spacing w:before="1"/>
        <w:rPr>
          <w:rFonts w:ascii="黑体"/>
          <w:sz w:val="23"/>
        </w:rPr>
      </w:pPr>
    </w:p>
    <w:p>
      <w:pPr>
        <w:pStyle w:val="9"/>
        <w:tabs>
          <w:tab w:val="left" w:pos="6360"/>
          <w:tab w:val="left" w:pos="6919"/>
        </w:tabs>
        <w:ind w:left="5799"/>
        <w:jc w:val="left"/>
      </w:pPr>
      <w:r>
        <w:t>投</w:t>
      </w:r>
      <w:r>
        <w:tab/>
      </w:r>
      <w:r>
        <w:t>标</w:t>
      </w:r>
      <w:r>
        <w:tab/>
      </w:r>
      <w:r>
        <w:t>人</w:t>
      </w:r>
      <w:r>
        <w:rPr>
          <w:spacing w:val="-3"/>
        </w:rPr>
        <w:t>（</w:t>
      </w:r>
      <w:r>
        <w:t>盖章）：</w:t>
      </w:r>
    </w:p>
    <w:p>
      <w:pPr>
        <w:spacing w:after="0"/>
        <w:jc w:val="left"/>
        <w:sectPr>
          <w:pgSz w:w="11910" w:h="16840"/>
          <w:pgMar w:top="1400" w:right="360" w:bottom="1300" w:left="760" w:header="0" w:footer="1109" w:gutter="0"/>
        </w:sectPr>
      </w:pPr>
    </w:p>
    <w:p>
      <w:pPr>
        <w:spacing w:before="43"/>
        <w:ind w:left="1040" w:right="0" w:firstLine="0"/>
        <w:jc w:val="left"/>
        <w:rPr>
          <w:sz w:val="21"/>
        </w:rPr>
      </w:pPr>
      <w:r>
        <w:rPr>
          <w:sz w:val="21"/>
        </w:rPr>
        <w:t>附件三：</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6"/>
        <w:rPr>
          <w:sz w:val="14"/>
        </w:rPr>
      </w:pPr>
    </w:p>
    <w:p>
      <w:pPr>
        <w:pStyle w:val="3"/>
      </w:pPr>
      <w:r>
        <w:t>商务标格式</w:t>
      </w:r>
    </w:p>
    <w:p>
      <w:pPr>
        <w:spacing w:after="0"/>
        <w:sectPr>
          <w:pgSz w:w="11910" w:h="16840"/>
          <w:pgMar w:top="1400" w:right="360" w:bottom="1300" w:left="760" w:header="0" w:footer="1109" w:gutter="0"/>
        </w:sectPr>
      </w:pPr>
    </w:p>
    <w:p>
      <w:pPr>
        <w:pStyle w:val="11"/>
        <w:rPr>
          <w:b/>
          <w:sz w:val="20"/>
        </w:rPr>
      </w:pPr>
    </w:p>
    <w:p>
      <w:pPr>
        <w:pStyle w:val="11"/>
        <w:spacing w:before="8"/>
        <w:rPr>
          <w:b/>
        </w:rPr>
      </w:pPr>
    </w:p>
    <w:p>
      <w:pPr>
        <w:pStyle w:val="4"/>
        <w:ind w:firstLine="0"/>
      </w:pPr>
      <w:r>
        <w:t>商 务 标</w:t>
      </w:r>
    </w:p>
    <w:p>
      <w:pPr>
        <w:pStyle w:val="11"/>
        <w:spacing w:before="9"/>
        <w:rPr>
          <w:b/>
          <w:sz w:val="67"/>
        </w:rPr>
      </w:pPr>
    </w:p>
    <w:p>
      <w:pPr>
        <w:pStyle w:val="6"/>
        <w:ind w:left="113"/>
        <w:rPr>
          <w:rFonts w:hint="eastAsia" w:ascii="宋体" w:eastAsia="宋体"/>
        </w:rPr>
      </w:pPr>
      <w:r>
        <w:rPr>
          <w:rFonts w:hint="eastAsia" w:ascii="宋体" w:eastAsia="宋体"/>
        </w:rPr>
        <w:t>（封面）</w:t>
      </w:r>
    </w:p>
    <w:p>
      <w:pPr>
        <w:pStyle w:val="11"/>
        <w:rPr>
          <w:sz w:val="32"/>
        </w:rPr>
      </w:pPr>
    </w:p>
    <w:p>
      <w:pPr>
        <w:pStyle w:val="11"/>
        <w:rPr>
          <w:sz w:val="32"/>
        </w:rPr>
      </w:pPr>
    </w:p>
    <w:p>
      <w:pPr>
        <w:pStyle w:val="11"/>
        <w:rPr>
          <w:sz w:val="32"/>
        </w:rPr>
      </w:pPr>
    </w:p>
    <w:p>
      <w:pPr>
        <w:pStyle w:val="9"/>
        <w:tabs>
          <w:tab w:val="left" w:pos="7829"/>
        </w:tabs>
        <w:spacing w:before="258"/>
        <w:ind w:left="620"/>
        <w:rPr>
          <w:rFonts w:ascii="Times New Roman" w:eastAsia="Times New Roman"/>
        </w:rPr>
      </w:pPr>
      <w:r>
        <w:rPr>
          <w:spacing w:val="-1"/>
        </w:rPr>
        <w:t>项</w:t>
      </w:r>
      <w:r>
        <w:rPr>
          <w:spacing w:val="-3"/>
        </w:rPr>
        <w:t>目</w:t>
      </w:r>
      <w:r>
        <w:rPr>
          <w:spacing w:val="-1"/>
        </w:rPr>
        <w:t>编号</w:t>
      </w:r>
      <w:r>
        <w:rPr>
          <w:spacing w:val="-4"/>
        </w:rPr>
        <w:t>：</w:t>
      </w:r>
      <w:r>
        <w:rPr>
          <w:rFonts w:ascii="Times New Roman" w:eastAsia="Times New Roman"/>
          <w:u w:val="single"/>
        </w:rPr>
        <w:t xml:space="preserve"> </w:t>
      </w:r>
      <w:r>
        <w:rPr>
          <w:rFonts w:ascii="Times New Roman" w:eastAsia="Times New Roman"/>
          <w:u w:val="single"/>
        </w:rPr>
        <w:tab/>
      </w:r>
    </w:p>
    <w:p>
      <w:pPr>
        <w:pStyle w:val="11"/>
        <w:rPr>
          <w:rFonts w:ascii="Times New Roman"/>
          <w:sz w:val="20"/>
        </w:rPr>
      </w:pPr>
    </w:p>
    <w:p>
      <w:pPr>
        <w:pStyle w:val="11"/>
        <w:rPr>
          <w:rFonts w:ascii="Times New Roman"/>
          <w:sz w:val="20"/>
        </w:rPr>
      </w:pPr>
    </w:p>
    <w:p>
      <w:pPr>
        <w:pStyle w:val="11"/>
        <w:spacing w:before="8"/>
        <w:rPr>
          <w:rFonts w:ascii="Times New Roman"/>
          <w:sz w:val="19"/>
        </w:rPr>
      </w:pPr>
    </w:p>
    <w:p>
      <w:pPr>
        <w:tabs>
          <w:tab w:val="left" w:pos="7671"/>
        </w:tabs>
        <w:spacing w:before="71"/>
        <w:ind w:left="541" w:right="0" w:firstLine="0"/>
        <w:jc w:val="center"/>
        <w:rPr>
          <w:rFonts w:ascii="Times New Roman" w:eastAsia="Times New Roman"/>
          <w:sz w:val="28"/>
        </w:rPr>
      </w:pPr>
      <w:r>
        <w:rPr>
          <w:spacing w:val="-1"/>
          <w:sz w:val="28"/>
        </w:rPr>
        <w:t>项</w:t>
      </w:r>
      <w:r>
        <w:rPr>
          <w:spacing w:val="-3"/>
          <w:sz w:val="28"/>
        </w:rPr>
        <w:t>目</w:t>
      </w:r>
      <w:r>
        <w:rPr>
          <w:spacing w:val="-1"/>
          <w:sz w:val="28"/>
        </w:rPr>
        <w:t>名称</w:t>
      </w:r>
      <w:r>
        <w:rPr>
          <w:spacing w:val="-4"/>
          <w:sz w:val="28"/>
        </w:rPr>
        <w:t>：</w:t>
      </w:r>
      <w:r>
        <w:rPr>
          <w:rFonts w:ascii="Times New Roman" w:eastAsia="Times New Roman"/>
          <w:sz w:val="28"/>
          <w:u w:val="single"/>
        </w:rPr>
        <w:t xml:space="preserve"> </w:t>
      </w:r>
      <w:r>
        <w:rPr>
          <w:rFonts w:ascii="Times New Roman" w:eastAsia="Times New Roman"/>
          <w:sz w:val="28"/>
          <w:u w:val="single"/>
        </w:rPr>
        <w:tab/>
      </w:r>
    </w:p>
    <w:p>
      <w:pPr>
        <w:pStyle w:val="11"/>
        <w:rPr>
          <w:rFonts w:ascii="Times New Roman"/>
          <w:sz w:val="20"/>
        </w:rPr>
      </w:pPr>
    </w:p>
    <w:p>
      <w:pPr>
        <w:pStyle w:val="11"/>
        <w:rPr>
          <w:rFonts w:ascii="Times New Roman"/>
          <w:sz w:val="20"/>
        </w:rPr>
      </w:pPr>
    </w:p>
    <w:p>
      <w:pPr>
        <w:pStyle w:val="11"/>
        <w:rPr>
          <w:rFonts w:ascii="Times New Roman"/>
          <w:sz w:val="20"/>
        </w:rPr>
      </w:pPr>
    </w:p>
    <w:p>
      <w:pPr>
        <w:tabs>
          <w:tab w:val="left" w:pos="6133"/>
        </w:tabs>
        <w:spacing w:before="250"/>
        <w:ind w:left="332" w:right="0" w:firstLine="0"/>
        <w:jc w:val="center"/>
        <w:rPr>
          <w:sz w:val="28"/>
        </w:rPr>
      </w:pPr>
      <w:r>
        <w:rPr>
          <w:sz w:val="28"/>
        </w:rPr>
        <w:t>投</w:t>
      </w:r>
      <w:r>
        <w:rPr>
          <w:spacing w:val="-3"/>
          <w:sz w:val="28"/>
        </w:rPr>
        <w:t>标</w:t>
      </w:r>
      <w:r>
        <w:rPr>
          <w:sz w:val="28"/>
        </w:rPr>
        <w:t>人</w:t>
      </w:r>
      <w:r>
        <w:rPr>
          <w:spacing w:val="-4"/>
          <w:sz w:val="28"/>
        </w:rPr>
        <w:t>：</w:t>
      </w:r>
      <w:r>
        <w:rPr>
          <w:spacing w:val="-4"/>
          <w:sz w:val="28"/>
          <w:u w:val="single"/>
        </w:rPr>
        <w:t xml:space="preserve"> </w:t>
      </w:r>
      <w:r>
        <w:rPr>
          <w:spacing w:val="-4"/>
          <w:sz w:val="28"/>
          <w:u w:val="single"/>
        </w:rPr>
        <w:tab/>
      </w:r>
      <w:r>
        <w:rPr>
          <w:sz w:val="28"/>
          <w:u w:val="single"/>
        </w:rPr>
        <w:t>（</w:t>
      </w:r>
      <w:r>
        <w:rPr>
          <w:spacing w:val="-3"/>
          <w:sz w:val="28"/>
          <w:u w:val="single"/>
        </w:rPr>
        <w:t>盖</w:t>
      </w:r>
      <w:r>
        <w:rPr>
          <w:sz w:val="28"/>
          <w:u w:val="single"/>
        </w:rPr>
        <w:t>章）</w:t>
      </w:r>
    </w:p>
    <w:p>
      <w:pPr>
        <w:pStyle w:val="11"/>
        <w:rPr>
          <w:sz w:val="20"/>
        </w:rPr>
      </w:pPr>
    </w:p>
    <w:p>
      <w:pPr>
        <w:pStyle w:val="11"/>
        <w:rPr>
          <w:sz w:val="20"/>
        </w:rPr>
      </w:pPr>
    </w:p>
    <w:p>
      <w:pPr>
        <w:pStyle w:val="11"/>
        <w:spacing w:before="11"/>
        <w:rPr>
          <w:sz w:val="23"/>
        </w:rPr>
      </w:pPr>
    </w:p>
    <w:p>
      <w:pPr>
        <w:tabs>
          <w:tab w:val="left" w:pos="5659"/>
        </w:tabs>
        <w:spacing w:before="71"/>
        <w:ind w:left="2098" w:right="0" w:firstLine="0"/>
        <w:jc w:val="left"/>
        <w:rPr>
          <w:sz w:val="28"/>
        </w:rPr>
      </w:pPr>
      <w:r>
        <w:rPr>
          <w:sz w:val="28"/>
        </w:rPr>
        <w:t>法</w:t>
      </w:r>
      <w:r>
        <w:rPr>
          <w:spacing w:val="-3"/>
          <w:sz w:val="28"/>
        </w:rPr>
        <w:t>定</w:t>
      </w:r>
      <w:r>
        <w:rPr>
          <w:sz w:val="28"/>
        </w:rPr>
        <w:t>代表</w:t>
      </w:r>
      <w:r>
        <w:rPr>
          <w:spacing w:val="-3"/>
          <w:sz w:val="28"/>
        </w:rPr>
        <w:t>人</w:t>
      </w:r>
      <w:r>
        <w:rPr>
          <w:sz w:val="28"/>
        </w:rPr>
        <w:t>：</w:t>
      </w:r>
      <w:r>
        <w:rPr>
          <w:sz w:val="28"/>
          <w:u w:val="single"/>
        </w:rPr>
        <w:t xml:space="preserve"> </w:t>
      </w:r>
      <w:r>
        <w:rPr>
          <w:sz w:val="28"/>
          <w:u w:val="single"/>
        </w:rPr>
        <w:tab/>
      </w:r>
      <w:r>
        <w:rPr>
          <w:spacing w:val="-1"/>
          <w:sz w:val="28"/>
          <w:u w:val="single"/>
        </w:rPr>
        <w:t>（</w:t>
      </w:r>
      <w:r>
        <w:rPr>
          <w:spacing w:val="-3"/>
          <w:sz w:val="28"/>
          <w:u w:val="single"/>
        </w:rPr>
        <w:t>签</w:t>
      </w:r>
      <w:r>
        <w:rPr>
          <w:spacing w:val="-1"/>
          <w:sz w:val="28"/>
          <w:u w:val="single"/>
        </w:rPr>
        <w:t>名或</w:t>
      </w:r>
      <w:r>
        <w:rPr>
          <w:spacing w:val="-3"/>
          <w:sz w:val="28"/>
          <w:u w:val="single"/>
        </w:rPr>
        <w:t>盖</w:t>
      </w:r>
      <w:r>
        <w:rPr>
          <w:spacing w:val="-1"/>
          <w:sz w:val="28"/>
          <w:u w:val="single"/>
        </w:rPr>
        <w:t>章</w:t>
      </w:r>
      <w:r>
        <w:rPr>
          <w:sz w:val="28"/>
          <w:u w:val="single"/>
        </w:rPr>
        <w:t>）</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8"/>
        <w:rPr>
          <w:sz w:val="22"/>
        </w:rPr>
      </w:pPr>
    </w:p>
    <w:p>
      <w:pPr>
        <w:tabs>
          <w:tab w:val="left" w:pos="5091"/>
          <w:tab w:val="left" w:pos="6211"/>
          <w:tab w:val="left" w:pos="7332"/>
        </w:tabs>
        <w:spacing w:before="62"/>
        <w:ind w:left="3831" w:right="0" w:firstLine="0"/>
        <w:jc w:val="left"/>
        <w:rPr>
          <w:sz w:val="28"/>
        </w:rPr>
      </w:pPr>
      <w:bookmarkStart w:id="4" w:name="         年      月      日"/>
      <w:bookmarkEnd w:id="4"/>
      <w:r>
        <w:rPr>
          <w:rFonts w:ascii="Times New Roman" w:eastAsia="Times New Roman"/>
          <w:w w:val="100"/>
          <w:sz w:val="28"/>
          <w:u w:val="single"/>
        </w:rPr>
        <w:t xml:space="preserve"> </w:t>
      </w:r>
      <w:r>
        <w:rPr>
          <w:rFonts w:ascii="Times New Roman" w:eastAsia="Times New Roman"/>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w:t>
      </w:r>
    </w:p>
    <w:p>
      <w:pPr>
        <w:spacing w:after="0"/>
        <w:jc w:val="left"/>
        <w:rPr>
          <w:sz w:val="28"/>
        </w:rPr>
        <w:sectPr>
          <w:pgSz w:w="11910" w:h="16840"/>
          <w:pgMar w:top="1580" w:right="360" w:bottom="1300" w:left="760" w:header="0" w:footer="1109" w:gutter="0"/>
        </w:sectPr>
      </w:pPr>
    </w:p>
    <w:p>
      <w:pPr>
        <w:pStyle w:val="11"/>
        <w:rPr>
          <w:sz w:val="20"/>
        </w:rPr>
      </w:pPr>
    </w:p>
    <w:p>
      <w:pPr>
        <w:pStyle w:val="11"/>
        <w:spacing w:before="1"/>
        <w:rPr>
          <w:sz w:val="28"/>
        </w:rPr>
      </w:pPr>
    </w:p>
    <w:p>
      <w:pPr>
        <w:tabs>
          <w:tab w:val="left" w:pos="740"/>
        </w:tabs>
        <w:spacing w:before="50"/>
        <w:ind w:left="17" w:right="0" w:firstLine="0"/>
        <w:jc w:val="center"/>
        <w:rPr>
          <w:b/>
          <w:sz w:val="36"/>
        </w:rPr>
      </w:pPr>
      <w:bookmarkStart w:id="5" w:name="目  录"/>
      <w:bookmarkEnd w:id="5"/>
      <w:r>
        <w:rPr>
          <w:b/>
          <w:sz w:val="36"/>
        </w:rPr>
        <w:t>目</w:t>
      </w:r>
      <w:r>
        <w:rPr>
          <w:b/>
          <w:sz w:val="36"/>
        </w:rPr>
        <w:tab/>
      </w:r>
      <w:r>
        <w:rPr>
          <w:b/>
          <w:sz w:val="36"/>
        </w:rPr>
        <w:t>录</w:t>
      </w:r>
    </w:p>
    <w:p>
      <w:pPr>
        <w:pStyle w:val="11"/>
        <w:rPr>
          <w:b/>
          <w:sz w:val="36"/>
        </w:rPr>
      </w:pPr>
    </w:p>
    <w:p>
      <w:pPr>
        <w:pStyle w:val="11"/>
        <w:spacing w:before="289"/>
        <w:ind w:left="1520"/>
      </w:pPr>
      <w:r>
        <w:t>1、投标函（附件三-1）</w:t>
      </w:r>
    </w:p>
    <w:p>
      <w:pPr>
        <w:pStyle w:val="11"/>
        <w:spacing w:before="161"/>
        <w:ind w:left="1520"/>
      </w:pPr>
      <w:r>
        <w:t>2、投标报价计算书（附件三-2）</w:t>
      </w:r>
    </w:p>
    <w:p>
      <w:pPr>
        <w:spacing w:after="0"/>
        <w:sectPr>
          <w:pgSz w:w="11910" w:h="16840"/>
          <w:pgMar w:top="1580" w:right="360" w:bottom="1300" w:left="760" w:header="0" w:footer="1109" w:gutter="0"/>
        </w:sectPr>
      </w:pPr>
    </w:p>
    <w:p>
      <w:pPr>
        <w:spacing w:before="40"/>
        <w:ind w:left="1040" w:right="0" w:firstLine="0"/>
        <w:jc w:val="left"/>
        <w:rPr>
          <w:sz w:val="21"/>
        </w:rPr>
      </w:pPr>
      <w:r>
        <w:rPr>
          <w:sz w:val="21"/>
        </w:rPr>
        <w:t>附件三-1</w:t>
      </w:r>
    </w:p>
    <w:p>
      <w:pPr>
        <w:pStyle w:val="11"/>
        <w:spacing w:before="10"/>
        <w:rPr>
          <w:sz w:val="31"/>
        </w:rPr>
      </w:pPr>
      <w:r>
        <w:br w:type="column"/>
      </w:r>
    </w:p>
    <w:p>
      <w:pPr>
        <w:spacing w:before="0"/>
        <w:ind w:left="1040" w:right="0" w:firstLine="0"/>
        <w:jc w:val="left"/>
        <w:rPr>
          <w:rFonts w:hint="eastAsia" w:ascii="黑体" w:eastAsia="黑体"/>
          <w:b/>
          <w:sz w:val="32"/>
        </w:rPr>
      </w:pPr>
      <w:r>
        <w:rPr>
          <w:rFonts w:hint="eastAsia" w:ascii="黑体" w:eastAsia="黑体"/>
          <w:b/>
          <w:sz w:val="32"/>
        </w:rPr>
        <w:t>投 标 函</w:t>
      </w:r>
    </w:p>
    <w:p>
      <w:pPr>
        <w:spacing w:after="0"/>
        <w:jc w:val="left"/>
        <w:rPr>
          <w:rFonts w:hint="eastAsia" w:ascii="黑体" w:eastAsia="黑体"/>
          <w:sz w:val="32"/>
        </w:rPr>
        <w:sectPr>
          <w:pgSz w:w="11910" w:h="16840"/>
          <w:pgMar w:top="1540" w:right="360" w:bottom="1300" w:left="760" w:header="0" w:footer="1109" w:gutter="0"/>
          <w:cols w:equalWidth="0" w:num="2">
            <w:col w:w="1919" w:space="1453"/>
            <w:col w:w="7418"/>
          </w:cols>
        </w:sectPr>
      </w:pPr>
    </w:p>
    <w:p>
      <w:pPr>
        <w:pStyle w:val="11"/>
        <w:spacing w:before="2"/>
        <w:rPr>
          <w:rFonts w:ascii="黑体"/>
          <w:b/>
          <w:sz w:val="12"/>
        </w:rPr>
      </w:pPr>
    </w:p>
    <w:p>
      <w:pPr>
        <w:pStyle w:val="11"/>
        <w:spacing w:before="67"/>
        <w:ind w:left="1040"/>
      </w:pPr>
      <w:r>
        <w:rPr>
          <w:rFonts w:hint="eastAsia"/>
          <w:szCs w:val="21"/>
          <w:u w:val="single"/>
          <w:lang w:eastAsia="zh-CN"/>
        </w:rPr>
        <w:t>温岭市金港投资发展有限公司</w:t>
      </w:r>
      <w:r>
        <mc:AlternateContent>
          <mc:Choice Requires="wps">
            <w:drawing>
              <wp:anchor distT="0" distB="0" distL="114300" distR="114300" simplePos="0" relativeHeight="249649152" behindDoc="1" locked="0" layoutInCell="1" allowOverlap="1">
                <wp:simplePos x="0" y="0"/>
                <wp:positionH relativeFrom="page">
                  <wp:posOffset>1143000</wp:posOffset>
                </wp:positionH>
                <wp:positionV relativeFrom="paragraph">
                  <wp:posOffset>210820</wp:posOffset>
                </wp:positionV>
                <wp:extent cx="1524000" cy="0"/>
                <wp:effectExtent l="0" t="0" r="0" b="0"/>
                <wp:wrapNone/>
                <wp:docPr id="1" name="直线 2"/>
                <wp:cNvGraphicFramePr/>
                <a:graphic xmlns:a="http://schemas.openxmlformats.org/drawingml/2006/main">
                  <a:graphicData uri="http://schemas.microsoft.com/office/word/2010/wordprocessingShape">
                    <wps:wsp>
                      <wps:cNvCnPr/>
                      <wps:spPr>
                        <a:xfrm>
                          <a:off x="0" y="0"/>
                          <a:ext cx="15240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0pt;margin-top:16.6pt;height:0pt;width:120pt;mso-position-horizontal-relative:page;z-index:-253667328;mso-width-relative:page;mso-height-relative:page;" filled="f" stroked="t" coordsize="21600,21600" o:gfxdata="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7pIAvVAAAACQEAAA8AAAAAAAAAAQAgAAAAIgAAAGRycy9k&#10;b3ducmV2LnhtbFBLAQIUABQAAAAIAIdO4kBhpHd3zAEAAI0DAAAOAAAAAAAAAAEAIAAAACQBAABk&#10;cnMvZTJvRG9jLnhtbFBLBQYAAAAABgAGAFkBAABiBQAAAAA=&#10;">
                <v:fill on="f" focussize="0,0"/>
                <v:stroke weight="0.6pt" color="#000000" joinstyle="round"/>
                <v:imagedata o:title=""/>
                <o:lock v:ext="edit" aspectratio="f"/>
              </v:line>
            </w:pict>
          </mc:Fallback>
        </mc:AlternateContent>
      </w:r>
      <w:r>
        <w:t>：</w:t>
      </w:r>
    </w:p>
    <w:p>
      <w:pPr>
        <w:pStyle w:val="11"/>
        <w:tabs>
          <w:tab w:val="left" w:pos="3725"/>
          <w:tab w:val="left" w:pos="4159"/>
        </w:tabs>
        <w:spacing w:before="126" w:line="345" w:lineRule="auto"/>
        <w:ind w:left="1040" w:right="1345" w:firstLine="525"/>
      </w:pPr>
      <w:r>
        <mc:AlternateContent>
          <mc:Choice Requires="wps">
            <w:drawing>
              <wp:anchor distT="0" distB="0" distL="114300" distR="114300" simplePos="0" relativeHeight="249650176" behindDoc="1" locked="0" layoutInCell="1" allowOverlap="1">
                <wp:simplePos x="0" y="0"/>
                <wp:positionH relativeFrom="page">
                  <wp:posOffset>2695575</wp:posOffset>
                </wp:positionH>
                <wp:positionV relativeFrom="paragraph">
                  <wp:posOffset>249555</wp:posOffset>
                </wp:positionV>
                <wp:extent cx="3657600" cy="0"/>
                <wp:effectExtent l="0" t="0" r="0" b="0"/>
                <wp:wrapNone/>
                <wp:docPr id="2" name="直线 3"/>
                <wp:cNvGraphicFramePr/>
                <a:graphic xmlns:a="http://schemas.openxmlformats.org/drawingml/2006/main">
                  <a:graphicData uri="http://schemas.microsoft.com/office/word/2010/wordprocessingShape">
                    <wps:wsp>
                      <wps:cNvCnPr/>
                      <wps:spPr>
                        <a:xfrm>
                          <a:off x="0" y="0"/>
                          <a:ext cx="36576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12.25pt;margin-top:19.65pt;height:0pt;width:288pt;mso-position-horizontal-relative:page;z-index:-253666304;mso-width-relative:page;mso-height-relative:page;" filled="f" stroked="t" coordsize="21600,21600" o:gfxdata="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p42KNYAAAAKAQAADwAAAAAAAAABACAAAAAiAAAAZHJz&#10;L2Rvd25yZXYueG1sUEsBAhQAFAAAAAgAh07iQDnHynDNAQAAjQMAAA4AAAAAAAAAAQAgAAAAJQEA&#10;AGRycy9lMm9Eb2MueG1sUEsFBgAAAAAGAAYAWQEAAGQFAAAAAA==&#10;">
                <v:fill on="f" focussize="0,0"/>
                <v:stroke weight="0.6pt" color="#000000" joinstyle="round"/>
                <v:imagedata o:title=""/>
                <o:lock v:ext="edit" aspectratio="f"/>
              </v:line>
            </w:pict>
          </mc:Fallback>
        </mc:AlternateContent>
      </w:r>
      <w:r>
        <w:t>一、根据已收到的</w:t>
      </w:r>
      <w:r>
        <w:tab/>
      </w:r>
      <w:r>
        <w:rPr>
          <w:rFonts w:hint="eastAsia"/>
          <w:lang w:eastAsia="zh-CN"/>
        </w:rPr>
        <w:t>温岭市新河镇XH010201地块</w:t>
      </w:r>
      <w:r>
        <w:rPr>
          <w:u w:val="none"/>
        </w:rPr>
        <w:t>监理</w:t>
      </w:r>
      <w:r>
        <w:t>招标文件，</w:t>
      </w:r>
      <w:r>
        <w:rPr>
          <w:u w:val="none"/>
        </w:rPr>
        <w:t>遵照《中</w:t>
      </w:r>
      <w:r>
        <w:t>华人民共和国招标投标法》</w:t>
      </w:r>
      <w:r>
        <w:rPr>
          <w:spacing w:val="-18"/>
        </w:rPr>
        <w:t>、</w:t>
      </w:r>
      <w:r>
        <w:t>《建设工程监理规范》、《浙江省建设工程监理管理条例》等有关法律、法规、规章规定</w:t>
      </w:r>
      <w:r>
        <w:rPr>
          <w:spacing w:val="-48"/>
        </w:rPr>
        <w:t>，</w:t>
      </w:r>
      <w:r>
        <w:t>经我单位考察现场和研究上述招标文件的投标人须知</w:t>
      </w:r>
      <w:r>
        <w:rPr>
          <w:spacing w:val="-46"/>
        </w:rPr>
        <w:t>、</w:t>
      </w:r>
      <w:r>
        <w:t>合同条款和施工图纸及其他有关文件后，我方愿以总价人民币（大写）</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元整（RMB ￥：</w:t>
      </w:r>
      <w:r>
        <w:rPr>
          <w:u w:val="single"/>
        </w:rPr>
        <w:t xml:space="preserve"> </w:t>
      </w:r>
      <w:r>
        <w:rPr>
          <w:u w:val="single"/>
        </w:rPr>
        <w:tab/>
      </w:r>
      <w:r>
        <w:t>元）的投标报价</w:t>
      </w:r>
      <w:r>
        <w:rPr>
          <w:spacing w:val="-5"/>
        </w:rPr>
        <w:t>，</w:t>
      </w:r>
      <w:r>
        <w:rPr>
          <w:spacing w:val="-3"/>
        </w:rPr>
        <w:t>并</w:t>
      </w:r>
      <w:r>
        <w:rPr>
          <w:spacing w:val="-5"/>
        </w:rPr>
        <w:t>按招</w:t>
      </w:r>
      <w:r>
        <w:rPr>
          <w:spacing w:val="-3"/>
        </w:rPr>
        <w:t>标</w:t>
      </w:r>
      <w:r>
        <w:rPr>
          <w:spacing w:val="-5"/>
        </w:rPr>
        <w:t>文件</w:t>
      </w:r>
      <w:r>
        <w:rPr>
          <w:spacing w:val="-3"/>
        </w:rPr>
        <w:t>、</w:t>
      </w:r>
      <w:r>
        <w:rPr>
          <w:spacing w:val="-5"/>
        </w:rPr>
        <w:t>施工</w:t>
      </w:r>
      <w:r>
        <w:rPr>
          <w:spacing w:val="-3"/>
        </w:rPr>
        <w:t>图</w:t>
      </w:r>
      <w:r>
        <w:rPr>
          <w:spacing w:val="-5"/>
        </w:rPr>
        <w:t>纸要</w:t>
      </w:r>
      <w:r>
        <w:rPr>
          <w:spacing w:val="-3"/>
        </w:rPr>
        <w:t>求</w:t>
      </w:r>
      <w:r>
        <w:t>承</w:t>
      </w:r>
      <w:r>
        <w:rPr>
          <w:spacing w:val="-5"/>
        </w:rPr>
        <w:t>担</w:t>
      </w:r>
      <w:r>
        <w:rPr>
          <w:spacing w:val="-3"/>
        </w:rPr>
        <w:t>上</w:t>
      </w:r>
      <w:r>
        <w:rPr>
          <w:spacing w:val="-5"/>
        </w:rPr>
        <w:t>述工</w:t>
      </w:r>
      <w:r>
        <w:rPr>
          <w:spacing w:val="-3"/>
        </w:rPr>
        <w:t>程</w:t>
      </w:r>
      <w:r>
        <w:t>施工全过程及保修阶段的监理</w:t>
      </w:r>
      <w:r>
        <w:rPr>
          <w:spacing w:val="-53"/>
        </w:rPr>
        <w:t>。</w:t>
      </w:r>
      <w:r>
        <w:t>（注</w:t>
      </w:r>
      <w:r>
        <w:rPr>
          <w:spacing w:val="-27"/>
        </w:rPr>
        <w:t>：</w:t>
      </w:r>
      <w:r>
        <w:t>人民币大</w:t>
      </w:r>
      <w:r>
        <w:rPr>
          <w:spacing w:val="-5"/>
        </w:rPr>
        <w:t>写</w:t>
      </w:r>
      <w:r>
        <w:rPr>
          <w:spacing w:val="-3"/>
        </w:rPr>
        <w:t>数</w:t>
      </w:r>
      <w:r>
        <w:rPr>
          <w:spacing w:val="-5"/>
        </w:rPr>
        <w:t>字</w:t>
      </w:r>
      <w:r>
        <w:rPr>
          <w:spacing w:val="-32"/>
        </w:rPr>
        <w:t>：</w:t>
      </w:r>
      <w:r>
        <w:rPr>
          <w:spacing w:val="-3"/>
        </w:rPr>
        <w:t>壹</w:t>
      </w:r>
      <w:r>
        <w:rPr>
          <w:spacing w:val="-32"/>
        </w:rPr>
        <w:t>、</w:t>
      </w:r>
      <w:r>
        <w:rPr>
          <w:spacing w:val="-5"/>
        </w:rPr>
        <w:t>贰</w:t>
      </w:r>
      <w:r>
        <w:rPr>
          <w:spacing w:val="-29"/>
        </w:rPr>
        <w:t>、</w:t>
      </w:r>
      <w:r>
        <w:rPr>
          <w:spacing w:val="-3"/>
        </w:rPr>
        <w:t>叁</w:t>
      </w:r>
      <w:r>
        <w:rPr>
          <w:spacing w:val="-11"/>
        </w:rPr>
        <w:t>、</w:t>
      </w:r>
      <w:r>
        <w:rPr>
          <w:spacing w:val="-5"/>
        </w:rPr>
        <w:t>肆</w:t>
      </w:r>
      <w:r>
        <w:rPr>
          <w:spacing w:val="-3"/>
        </w:rPr>
        <w:t>、</w:t>
      </w:r>
      <w:r>
        <w:rPr>
          <w:spacing w:val="-5"/>
        </w:rPr>
        <w:t>伍、</w:t>
      </w:r>
      <w:r>
        <w:rPr>
          <w:spacing w:val="-3"/>
        </w:rPr>
        <w:t>陆</w:t>
      </w:r>
      <w:r>
        <w:rPr>
          <w:spacing w:val="-5"/>
        </w:rPr>
        <w:t>、柒</w:t>
      </w:r>
      <w:r>
        <w:rPr>
          <w:spacing w:val="-3"/>
        </w:rPr>
        <w:t>、</w:t>
      </w:r>
      <w:r>
        <w:rPr>
          <w:spacing w:val="-5"/>
        </w:rPr>
        <w:t>捌、</w:t>
      </w:r>
      <w:r>
        <w:rPr>
          <w:spacing w:val="-3"/>
        </w:rPr>
        <w:t>玖</w:t>
      </w:r>
      <w:r>
        <w:rPr>
          <w:spacing w:val="-5"/>
        </w:rPr>
        <w:t>、拾</w:t>
      </w:r>
      <w:r>
        <w:rPr>
          <w:spacing w:val="-3"/>
        </w:rPr>
        <w:t>、</w:t>
      </w:r>
      <w:r>
        <w:rPr>
          <w:spacing w:val="-5"/>
        </w:rPr>
        <w:t>零、</w:t>
      </w:r>
      <w:r>
        <w:rPr>
          <w:spacing w:val="-3"/>
        </w:rPr>
        <w:t>佰</w:t>
      </w:r>
      <w:r>
        <w:rPr>
          <w:spacing w:val="-5"/>
        </w:rPr>
        <w:t>、仟</w:t>
      </w:r>
      <w:r>
        <w:rPr>
          <w:spacing w:val="-3"/>
        </w:rPr>
        <w:t>、</w:t>
      </w:r>
      <w:r>
        <w:rPr>
          <w:spacing w:val="-5"/>
        </w:rPr>
        <w:t>万，</w:t>
      </w:r>
      <w:r>
        <w:rPr>
          <w:spacing w:val="-3"/>
        </w:rPr>
        <w:t>请</w:t>
      </w:r>
      <w:r>
        <w:rPr>
          <w:spacing w:val="-5"/>
        </w:rPr>
        <w:t>规范</w:t>
      </w:r>
      <w:r>
        <w:rPr>
          <w:spacing w:val="-3"/>
        </w:rPr>
        <w:t>书</w:t>
      </w:r>
      <w:r>
        <w:rPr>
          <w:spacing w:val="-5"/>
        </w:rPr>
        <w:t>写</w:t>
      </w:r>
      <w:r>
        <w:t>）</w:t>
      </w:r>
    </w:p>
    <w:p>
      <w:pPr>
        <w:pStyle w:val="11"/>
        <w:spacing w:line="343" w:lineRule="auto"/>
        <w:ind w:left="1040" w:right="1437" w:firstLine="480"/>
      </w:pPr>
      <w:r>
        <w:rPr>
          <w:spacing w:val="-11"/>
        </w:rPr>
        <w:t>二、如果我方中标，我方将按照招标文件规定提交履约保证金，共同地和分</w:t>
      </w:r>
      <w:r>
        <w:t>别地承担责任。</w:t>
      </w:r>
    </w:p>
    <w:p>
      <w:pPr>
        <w:pStyle w:val="11"/>
        <w:spacing w:line="343" w:lineRule="auto"/>
        <w:ind w:left="1040" w:right="1437" w:firstLine="480"/>
      </w:pPr>
      <w:r>
        <w:rPr>
          <w:spacing w:val="-10"/>
        </w:rPr>
        <w:t>三、我方同意所递交的投标文件在投标有效期内有效，在此期间我方的投标</w:t>
      </w:r>
      <w:r>
        <w:t>有可能中标，我方将受此约束。</w:t>
      </w:r>
    </w:p>
    <w:p>
      <w:pPr>
        <w:pStyle w:val="11"/>
        <w:spacing w:line="343" w:lineRule="auto"/>
        <w:ind w:left="1040" w:right="1437" w:firstLine="480"/>
        <w:jc w:val="both"/>
      </w:pPr>
      <w:r>
        <w:rPr>
          <w:spacing w:val="-10"/>
        </w:rPr>
        <w:t>四、我方完全理解和接受招标文件的有关规定，并承诺一旦我方的投标出现</w:t>
      </w:r>
      <w:r>
        <w:rPr>
          <w:spacing w:val="-5"/>
        </w:rPr>
        <w:t>严重违规或涉嫌串通投标的情形而被评标委员会作无效标的，将自觉接受贵方暂停或者取消今后我方参加贵方其他任何工程投标资格的处理。我方承诺，对评标</w:t>
      </w:r>
      <w:r>
        <w:rPr>
          <w:spacing w:val="-10"/>
        </w:rPr>
        <w:t>结果有异议的，将在中标候选人公示期间提出，未在中标候选人公示期间提出异</w:t>
      </w:r>
      <w:r>
        <w:t>议的，我方自动放弃投诉权利。</w:t>
      </w:r>
    </w:p>
    <w:p>
      <w:pPr>
        <w:pStyle w:val="11"/>
        <w:spacing w:line="343" w:lineRule="auto"/>
        <w:ind w:left="1040" w:right="1437" w:firstLine="360"/>
      </w:pPr>
      <w:r>
        <w:t>五、除非另外达成协议并生效，你方的中标通知书和本投标文件将构成约束我们双方的合同。</w:t>
      </w:r>
    </w:p>
    <w:p>
      <w:pPr>
        <w:pStyle w:val="11"/>
        <w:spacing w:before="1"/>
        <w:ind w:left="1400"/>
      </w:pPr>
      <w:r>
        <w:t>六、我方金额为人民币</w:t>
      </w:r>
      <w:r>
        <w:rPr>
          <w:u w:val="single"/>
        </w:rPr>
        <w:t xml:space="preserve"> </w:t>
      </w:r>
      <w:r>
        <w:rPr>
          <w:rFonts w:hint="eastAsia"/>
          <w:u w:val="single"/>
          <w:lang w:val="en-US" w:eastAsia="zh-CN"/>
        </w:rPr>
        <w:t>壹万柒仟</w:t>
      </w:r>
      <w:r>
        <w:rPr>
          <w:u w:val="single"/>
        </w:rPr>
        <w:t>元</w:t>
      </w:r>
      <w:r>
        <w:t>的投标保证金与本投标文件同时递交。</w:t>
      </w:r>
    </w:p>
    <w:p>
      <w:pPr>
        <w:pStyle w:val="11"/>
        <w:rPr>
          <w:sz w:val="26"/>
        </w:rPr>
      </w:pPr>
    </w:p>
    <w:p>
      <w:pPr>
        <w:pStyle w:val="11"/>
        <w:spacing w:before="7"/>
        <w:rPr>
          <w:sz w:val="18"/>
        </w:rPr>
      </w:pPr>
    </w:p>
    <w:p>
      <w:pPr>
        <w:pStyle w:val="11"/>
        <w:ind w:left="4294"/>
      </w:pPr>
      <w:r>
        <w:t>投标人（盖章）：</w:t>
      </w:r>
    </w:p>
    <w:p>
      <w:pPr>
        <w:pStyle w:val="11"/>
      </w:pPr>
    </w:p>
    <w:p>
      <w:pPr>
        <w:pStyle w:val="11"/>
        <w:spacing w:before="10"/>
        <w:rPr>
          <w:sz w:val="20"/>
        </w:rPr>
      </w:pPr>
    </w:p>
    <w:p>
      <w:pPr>
        <w:pStyle w:val="11"/>
        <w:tabs>
          <w:tab w:val="left" w:pos="6094"/>
          <w:tab w:val="left" w:pos="6694"/>
          <w:tab w:val="left" w:pos="7414"/>
        </w:tabs>
        <w:spacing w:line="686" w:lineRule="auto"/>
        <w:ind w:left="4294" w:right="3129"/>
      </w:pPr>
      <w:r>
        <w:t>法人代表人（签名或盖章）： 日期：</w:t>
      </w:r>
      <w:r>
        <w:tab/>
      </w:r>
      <w:r>
        <w:t>年</w:t>
      </w:r>
      <w:r>
        <w:tab/>
      </w:r>
      <w:r>
        <w:t>月</w:t>
      </w:r>
      <w:r>
        <w:tab/>
      </w:r>
      <w:r>
        <w:rPr>
          <w:spacing w:val="-17"/>
        </w:rPr>
        <w:t>日</w:t>
      </w:r>
    </w:p>
    <w:p>
      <w:pPr>
        <w:spacing w:after="0" w:line="686" w:lineRule="auto"/>
        <w:sectPr>
          <w:type w:val="continuous"/>
          <w:pgSz w:w="11910" w:h="16840"/>
          <w:pgMar w:top="1580" w:right="360" w:bottom="1220" w:left="760" w:header="720" w:footer="720" w:gutter="0"/>
        </w:sectPr>
      </w:pPr>
    </w:p>
    <w:p>
      <w:pPr>
        <w:spacing w:before="40"/>
        <w:ind w:left="1040" w:right="0" w:firstLine="0"/>
        <w:jc w:val="left"/>
        <w:rPr>
          <w:sz w:val="21"/>
        </w:rPr>
      </w:pPr>
      <w:r>
        <w:rPr>
          <w:sz w:val="21"/>
        </w:rPr>
        <w:t>附件三-2</w:t>
      </w:r>
    </w:p>
    <w:p>
      <w:pPr>
        <w:pStyle w:val="5"/>
        <w:spacing w:before="142" w:line="364" w:lineRule="auto"/>
        <w:ind w:left="1042" w:right="1440"/>
      </w:pPr>
      <w:r>
        <w:rPr>
          <w:rFonts w:hint="eastAsia"/>
          <w:lang w:eastAsia="zh-CN"/>
        </w:rPr>
        <w:t>温岭市新河镇XH010201地块</w:t>
      </w:r>
      <w:r>
        <w:rPr>
          <w:u w:val="none"/>
        </w:rPr>
        <w:t>监理</w:t>
      </w:r>
    </w:p>
    <w:p>
      <w:pPr>
        <w:spacing w:before="1"/>
        <w:ind w:left="110" w:right="510" w:firstLine="0"/>
        <w:jc w:val="center"/>
        <w:rPr>
          <w:b/>
          <w:sz w:val="32"/>
        </w:rPr>
      </w:pPr>
      <w:r>
        <w:rPr>
          <w:b/>
          <w:sz w:val="32"/>
        </w:rPr>
        <w:t>投标报价计算书</w:t>
      </w:r>
    </w:p>
    <w:p>
      <w:pPr>
        <w:pStyle w:val="11"/>
        <w:rPr>
          <w:b/>
          <w:sz w:val="20"/>
        </w:rPr>
      </w:pPr>
    </w:p>
    <w:p>
      <w:pPr>
        <w:pStyle w:val="11"/>
        <w:spacing w:before="11"/>
        <w:rPr>
          <w:b/>
        </w:rPr>
      </w:pPr>
    </w:p>
    <w:tbl>
      <w:tblPr>
        <w:tblStyle w:val="12"/>
        <w:tblW w:w="0" w:type="auto"/>
        <w:tblInd w:w="573"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799"/>
        <w:gridCol w:w="4321"/>
        <w:gridCol w:w="2820"/>
        <w:gridCol w:w="2160"/>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181" w:hRule="atLeast"/>
        </w:trPr>
        <w:tc>
          <w:tcPr>
            <w:tcW w:w="799" w:type="dxa"/>
            <w:tcBorders>
              <w:bottom w:val="single" w:color="000000" w:sz="4" w:space="0"/>
              <w:right w:val="single" w:color="000000" w:sz="4" w:space="0"/>
            </w:tcBorders>
          </w:tcPr>
          <w:p>
            <w:pPr>
              <w:pStyle w:val="19"/>
              <w:rPr>
                <w:b/>
                <w:sz w:val="24"/>
              </w:rPr>
            </w:pPr>
          </w:p>
          <w:p>
            <w:pPr>
              <w:pStyle w:val="19"/>
              <w:spacing w:before="10"/>
              <w:rPr>
                <w:b/>
                <w:sz w:val="19"/>
              </w:rPr>
            </w:pPr>
          </w:p>
          <w:p>
            <w:pPr>
              <w:pStyle w:val="19"/>
              <w:ind w:left="129" w:right="130"/>
              <w:jc w:val="center"/>
              <w:rPr>
                <w:sz w:val="24"/>
              </w:rPr>
            </w:pPr>
            <w:r>
              <w:rPr>
                <w:sz w:val="24"/>
              </w:rPr>
              <w:t>序号</w:t>
            </w:r>
          </w:p>
        </w:tc>
        <w:tc>
          <w:tcPr>
            <w:tcW w:w="4321" w:type="dxa"/>
            <w:tcBorders>
              <w:left w:val="single" w:color="000000" w:sz="4" w:space="0"/>
              <w:bottom w:val="single" w:color="000000" w:sz="4" w:space="0"/>
              <w:right w:val="single" w:color="000000" w:sz="4" w:space="0"/>
            </w:tcBorders>
          </w:tcPr>
          <w:p>
            <w:pPr>
              <w:pStyle w:val="19"/>
              <w:rPr>
                <w:b/>
                <w:sz w:val="24"/>
              </w:rPr>
            </w:pPr>
          </w:p>
          <w:p>
            <w:pPr>
              <w:pStyle w:val="19"/>
              <w:spacing w:before="10"/>
              <w:rPr>
                <w:b/>
                <w:sz w:val="19"/>
              </w:rPr>
            </w:pPr>
          </w:p>
          <w:p>
            <w:pPr>
              <w:pStyle w:val="19"/>
              <w:ind w:left="639" w:right="631"/>
              <w:jc w:val="center"/>
              <w:rPr>
                <w:sz w:val="24"/>
              </w:rPr>
            </w:pPr>
            <w:r>
              <w:rPr>
                <w:sz w:val="24"/>
              </w:rPr>
              <w:t>名称</w:t>
            </w:r>
          </w:p>
        </w:tc>
        <w:tc>
          <w:tcPr>
            <w:tcW w:w="2820" w:type="dxa"/>
            <w:tcBorders>
              <w:left w:val="single" w:color="000000" w:sz="4" w:space="0"/>
              <w:bottom w:val="single" w:color="000000" w:sz="4" w:space="0"/>
            </w:tcBorders>
          </w:tcPr>
          <w:p>
            <w:pPr>
              <w:pStyle w:val="19"/>
              <w:rPr>
                <w:b/>
                <w:sz w:val="24"/>
              </w:rPr>
            </w:pPr>
          </w:p>
          <w:p>
            <w:pPr>
              <w:pStyle w:val="19"/>
              <w:spacing w:before="10"/>
              <w:rPr>
                <w:b/>
                <w:sz w:val="19"/>
              </w:rPr>
            </w:pPr>
          </w:p>
          <w:p>
            <w:pPr>
              <w:pStyle w:val="19"/>
              <w:ind w:left="19"/>
              <w:jc w:val="center"/>
              <w:rPr>
                <w:sz w:val="24"/>
              </w:rPr>
            </w:pPr>
            <w:r>
              <w:rPr>
                <w:sz w:val="24"/>
              </w:rPr>
              <w:t>计算公式</w:t>
            </w:r>
          </w:p>
        </w:tc>
        <w:tc>
          <w:tcPr>
            <w:tcW w:w="2160" w:type="dxa"/>
            <w:tcBorders>
              <w:bottom w:val="single" w:color="000000" w:sz="4" w:space="0"/>
            </w:tcBorders>
          </w:tcPr>
          <w:p>
            <w:pPr>
              <w:pStyle w:val="19"/>
              <w:rPr>
                <w:b/>
                <w:sz w:val="24"/>
              </w:rPr>
            </w:pPr>
          </w:p>
          <w:p>
            <w:pPr>
              <w:pStyle w:val="19"/>
              <w:spacing w:before="10"/>
              <w:rPr>
                <w:b/>
                <w:sz w:val="19"/>
              </w:rPr>
            </w:pPr>
          </w:p>
          <w:p>
            <w:pPr>
              <w:pStyle w:val="19"/>
              <w:ind w:left="448" w:right="441"/>
              <w:jc w:val="center"/>
              <w:rPr>
                <w:sz w:val="24"/>
              </w:rPr>
            </w:pPr>
            <w:r>
              <w:rPr>
                <w:sz w:val="24"/>
              </w:rPr>
              <w:t>金额（元）</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50" w:hRule="atLeast"/>
        </w:trPr>
        <w:tc>
          <w:tcPr>
            <w:tcW w:w="799" w:type="dxa"/>
            <w:tcBorders>
              <w:top w:val="single" w:color="000000" w:sz="4" w:space="0"/>
              <w:bottom w:val="single" w:color="000000" w:sz="4" w:space="0"/>
              <w:right w:val="single" w:color="000000" w:sz="4" w:space="0"/>
            </w:tcBorders>
          </w:tcPr>
          <w:p>
            <w:pPr>
              <w:pStyle w:val="19"/>
              <w:spacing w:before="12"/>
              <w:rPr>
                <w:b/>
                <w:sz w:val="24"/>
              </w:rPr>
            </w:pPr>
          </w:p>
          <w:p>
            <w:pPr>
              <w:pStyle w:val="19"/>
              <w:ind w:right="1"/>
              <w:jc w:val="center"/>
              <w:rPr>
                <w:sz w:val="24"/>
              </w:rPr>
            </w:pPr>
            <w:r>
              <w:rPr>
                <w:sz w:val="24"/>
              </w:rPr>
              <w:t>1</w:t>
            </w:r>
          </w:p>
        </w:tc>
        <w:tc>
          <w:tcPr>
            <w:tcW w:w="4321" w:type="dxa"/>
            <w:tcBorders>
              <w:top w:val="single" w:color="000000" w:sz="4" w:space="0"/>
              <w:left w:val="single" w:color="000000" w:sz="4" w:space="0"/>
              <w:bottom w:val="single" w:color="000000" w:sz="4" w:space="0"/>
              <w:right w:val="single" w:color="000000" w:sz="4" w:space="0"/>
            </w:tcBorders>
          </w:tcPr>
          <w:p>
            <w:pPr>
              <w:pStyle w:val="19"/>
              <w:spacing w:before="4"/>
              <w:ind w:left="639" w:right="631"/>
              <w:jc w:val="center"/>
              <w:rPr>
                <w:sz w:val="24"/>
              </w:rPr>
            </w:pPr>
            <w:r>
              <w:rPr>
                <w:sz w:val="24"/>
              </w:rPr>
              <w:t>服务收费基准价(标底)</w:t>
            </w:r>
          </w:p>
        </w:tc>
        <w:tc>
          <w:tcPr>
            <w:tcW w:w="2820" w:type="dxa"/>
            <w:tcBorders>
              <w:top w:val="single" w:color="000000" w:sz="4" w:space="0"/>
              <w:left w:val="single" w:color="000000" w:sz="4" w:space="0"/>
              <w:bottom w:val="single" w:color="000000" w:sz="4" w:space="0"/>
            </w:tcBorders>
          </w:tcPr>
          <w:p>
            <w:pPr>
              <w:pStyle w:val="19"/>
              <w:rPr>
                <w:rFonts w:ascii="Times New Roman"/>
                <w:sz w:val="24"/>
              </w:rPr>
            </w:pPr>
          </w:p>
        </w:tc>
        <w:tc>
          <w:tcPr>
            <w:tcW w:w="2160" w:type="dxa"/>
            <w:tcBorders>
              <w:top w:val="single" w:color="000000" w:sz="4" w:space="0"/>
              <w:bottom w:val="single" w:color="000000" w:sz="4" w:space="0"/>
            </w:tcBorders>
          </w:tcPr>
          <w:p>
            <w:pPr>
              <w:pStyle w:val="19"/>
              <w:ind w:left="448" w:right="441"/>
              <w:jc w:val="center"/>
              <w:rPr>
                <w:sz w:val="24"/>
              </w:rPr>
            </w:pPr>
            <w:r>
              <w:rPr>
                <w:rFonts w:hint="eastAsia"/>
                <w:sz w:val="24"/>
                <w:lang w:val="en-US" w:eastAsia="zh-CN"/>
              </w:rPr>
              <w:t>895342</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08" w:hRule="atLeast"/>
        </w:trPr>
        <w:tc>
          <w:tcPr>
            <w:tcW w:w="799" w:type="dxa"/>
            <w:tcBorders>
              <w:top w:val="single" w:color="000000" w:sz="4" w:space="0"/>
              <w:bottom w:val="single" w:color="000000" w:sz="4" w:space="0"/>
              <w:right w:val="single" w:color="000000" w:sz="4" w:space="0"/>
            </w:tcBorders>
          </w:tcPr>
          <w:p>
            <w:pPr>
              <w:pStyle w:val="19"/>
              <w:spacing w:before="1"/>
              <w:rPr>
                <w:b/>
                <w:sz w:val="33"/>
              </w:rPr>
            </w:pPr>
          </w:p>
          <w:p>
            <w:pPr>
              <w:pStyle w:val="19"/>
              <w:spacing w:before="1"/>
              <w:ind w:right="1"/>
              <w:jc w:val="center"/>
              <w:rPr>
                <w:rFonts w:hint="default" w:eastAsia="宋体"/>
                <w:sz w:val="24"/>
                <w:lang w:val="en-US" w:eastAsia="zh-CN"/>
              </w:rPr>
            </w:pPr>
            <w:r>
              <w:rPr>
                <w:rFonts w:hint="eastAsia"/>
                <w:sz w:val="24"/>
                <w:lang w:val="en-US" w:eastAsia="zh-CN"/>
              </w:rPr>
              <w:t>2</w:t>
            </w:r>
          </w:p>
        </w:tc>
        <w:tc>
          <w:tcPr>
            <w:tcW w:w="4321" w:type="dxa"/>
            <w:tcBorders>
              <w:top w:val="single" w:color="000000" w:sz="4" w:space="0"/>
              <w:left w:val="single" w:color="000000" w:sz="4" w:space="0"/>
              <w:bottom w:val="single" w:color="000000" w:sz="4" w:space="0"/>
              <w:right w:val="single" w:color="000000" w:sz="4" w:space="0"/>
            </w:tcBorders>
          </w:tcPr>
          <w:p>
            <w:pPr>
              <w:pStyle w:val="19"/>
              <w:spacing w:before="6"/>
              <w:rPr>
                <w:b/>
                <w:sz w:val="28"/>
              </w:rPr>
            </w:pPr>
          </w:p>
          <w:p>
            <w:pPr>
              <w:pStyle w:val="19"/>
              <w:ind w:left="107" w:right="-29"/>
              <w:rPr>
                <w:sz w:val="24"/>
              </w:rPr>
            </w:pPr>
            <w:r>
              <w:rPr>
                <w:spacing w:val="-24"/>
                <w:sz w:val="24"/>
              </w:rPr>
              <w:t xml:space="preserve">报价：浮动范围 </w:t>
            </w:r>
            <w:r>
              <w:rPr>
                <w:sz w:val="24"/>
              </w:rPr>
              <w:t>80%-88</w:t>
            </w:r>
            <w:r>
              <w:rPr>
                <w:spacing w:val="-108"/>
                <w:sz w:val="24"/>
              </w:rPr>
              <w:t>%</w:t>
            </w:r>
            <w:r>
              <w:rPr>
                <w:spacing w:val="-3"/>
                <w:sz w:val="24"/>
              </w:rPr>
              <w:t>（</w:t>
            </w:r>
            <w:r>
              <w:rPr>
                <w:spacing w:val="-20"/>
                <w:sz w:val="24"/>
              </w:rPr>
              <w:t xml:space="preserve">包括 </w:t>
            </w:r>
            <w:r>
              <w:rPr>
                <w:sz w:val="24"/>
              </w:rPr>
              <w:t>80%</w:t>
            </w:r>
            <w:r>
              <w:rPr>
                <w:spacing w:val="-113"/>
                <w:sz w:val="24"/>
              </w:rPr>
              <w:t>、</w:t>
            </w:r>
            <w:r>
              <w:rPr>
                <w:sz w:val="24"/>
              </w:rPr>
              <w:t>88%）</w:t>
            </w:r>
          </w:p>
        </w:tc>
        <w:tc>
          <w:tcPr>
            <w:tcW w:w="2820" w:type="dxa"/>
            <w:tcBorders>
              <w:top w:val="single" w:color="000000" w:sz="4" w:space="0"/>
              <w:left w:val="single" w:color="000000" w:sz="4" w:space="0"/>
              <w:bottom w:val="single" w:color="000000" w:sz="4" w:space="0"/>
            </w:tcBorders>
          </w:tcPr>
          <w:p>
            <w:pPr>
              <w:pStyle w:val="19"/>
              <w:spacing w:before="1"/>
              <w:rPr>
                <w:b/>
                <w:sz w:val="33"/>
              </w:rPr>
            </w:pPr>
          </w:p>
          <w:p>
            <w:pPr>
              <w:pStyle w:val="19"/>
              <w:tabs>
                <w:tab w:val="left" w:pos="1099"/>
              </w:tabs>
              <w:spacing w:before="1"/>
              <w:ind w:left="19"/>
              <w:jc w:val="center"/>
              <w:rPr>
                <w:sz w:val="24"/>
              </w:rPr>
            </w:pPr>
            <w:r>
              <w:rPr>
                <w:rFonts w:hint="eastAsia"/>
                <w:sz w:val="24"/>
                <w:lang w:val="en-US" w:eastAsia="zh-CN"/>
              </w:rPr>
              <w:t>一</w:t>
            </w:r>
            <w:r>
              <w:rPr>
                <w:sz w:val="24"/>
              </w:rPr>
              <w:t>×</w:t>
            </w:r>
            <w:r>
              <w:rPr>
                <w:sz w:val="24"/>
                <w:u w:val="single"/>
              </w:rPr>
              <w:t xml:space="preserve"> </w:t>
            </w:r>
            <w:r>
              <w:rPr>
                <w:sz w:val="24"/>
                <w:u w:val="single"/>
              </w:rPr>
              <w:tab/>
            </w:r>
            <w:r>
              <w:rPr>
                <w:sz w:val="24"/>
              </w:rPr>
              <w:t>%</w:t>
            </w:r>
          </w:p>
        </w:tc>
        <w:tc>
          <w:tcPr>
            <w:tcW w:w="2160" w:type="dxa"/>
            <w:tcBorders>
              <w:top w:val="single" w:color="000000" w:sz="4" w:space="0"/>
              <w:bottom w:val="single" w:color="000000" w:sz="4" w:space="0"/>
            </w:tcBorders>
          </w:tcPr>
          <w:p>
            <w:pPr>
              <w:pStyle w:val="19"/>
              <w:rPr>
                <w:rFonts w:ascii="Times New Roman"/>
                <w:sz w:val="24"/>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80" w:hRule="atLeast"/>
        </w:trPr>
        <w:tc>
          <w:tcPr>
            <w:tcW w:w="10100" w:type="dxa"/>
            <w:gridSpan w:val="4"/>
            <w:tcBorders>
              <w:top w:val="single" w:color="000000" w:sz="4" w:space="0"/>
            </w:tcBorders>
          </w:tcPr>
          <w:p>
            <w:pPr>
              <w:pStyle w:val="19"/>
              <w:spacing w:before="1"/>
              <w:rPr>
                <w:b/>
                <w:sz w:val="28"/>
              </w:rPr>
            </w:pPr>
          </w:p>
          <w:p>
            <w:pPr>
              <w:pStyle w:val="19"/>
              <w:ind w:left="3698" w:right="3691"/>
              <w:jc w:val="center"/>
              <w:rPr>
                <w:sz w:val="24"/>
              </w:rPr>
            </w:pPr>
            <w:r>
              <w:rPr>
                <w:sz w:val="24"/>
              </w:rPr>
              <w:t>最终报价结转至附件三-1</w:t>
            </w:r>
          </w:p>
        </w:tc>
      </w:tr>
    </w:tbl>
    <w:p>
      <w:pPr>
        <w:pStyle w:val="11"/>
        <w:rPr>
          <w:b/>
          <w:sz w:val="32"/>
        </w:rPr>
      </w:pPr>
    </w:p>
    <w:p>
      <w:pPr>
        <w:pStyle w:val="11"/>
        <w:rPr>
          <w:b/>
          <w:sz w:val="32"/>
        </w:rPr>
      </w:pPr>
    </w:p>
    <w:p>
      <w:pPr>
        <w:pStyle w:val="11"/>
        <w:spacing w:before="4"/>
        <w:rPr>
          <w:b/>
        </w:rPr>
      </w:pPr>
    </w:p>
    <w:p>
      <w:pPr>
        <w:pStyle w:val="11"/>
        <w:ind w:left="4294"/>
      </w:pPr>
      <w:r>
        <w:t>投标人（盖章）：</w:t>
      </w:r>
    </w:p>
    <w:p>
      <w:pPr>
        <w:pStyle w:val="11"/>
      </w:pPr>
    </w:p>
    <w:p>
      <w:pPr>
        <w:pStyle w:val="11"/>
        <w:spacing w:before="12"/>
        <w:rPr>
          <w:sz w:val="26"/>
        </w:rPr>
      </w:pPr>
    </w:p>
    <w:p>
      <w:pPr>
        <w:pStyle w:val="11"/>
        <w:ind w:left="4294"/>
      </w:pPr>
      <w:r>
        <w:t>法人代表人（签名或盖章）：</w:t>
      </w:r>
    </w:p>
    <w:p>
      <w:pPr>
        <w:pStyle w:val="11"/>
      </w:pPr>
    </w:p>
    <w:p>
      <w:pPr>
        <w:pStyle w:val="11"/>
        <w:spacing w:before="12"/>
        <w:rPr>
          <w:sz w:val="26"/>
        </w:rPr>
      </w:pPr>
    </w:p>
    <w:p>
      <w:pPr>
        <w:pStyle w:val="11"/>
        <w:tabs>
          <w:tab w:val="left" w:pos="6094"/>
          <w:tab w:val="left" w:pos="6694"/>
          <w:tab w:val="left" w:pos="7414"/>
        </w:tabs>
        <w:ind w:left="4294"/>
      </w:pPr>
      <w:r>
        <w:t>日期：</w:t>
      </w:r>
      <w:r>
        <w:tab/>
      </w:r>
      <w:r>
        <w:t>年</w:t>
      </w:r>
      <w:r>
        <w:tab/>
      </w:r>
      <w:r>
        <w:t>月</w:t>
      </w:r>
      <w:r>
        <w:tab/>
      </w:r>
      <w:r>
        <w:t>日</w:t>
      </w:r>
    </w:p>
    <w:p>
      <w:pPr>
        <w:spacing w:after="0"/>
        <w:sectPr>
          <w:pgSz w:w="11910" w:h="16840"/>
          <w:pgMar w:top="1540" w:right="360" w:bottom="1300" w:left="760" w:header="0" w:footer="1109" w:gutter="0"/>
        </w:sectPr>
      </w:pPr>
    </w:p>
    <w:p>
      <w:pPr>
        <w:spacing w:before="43"/>
        <w:ind w:left="1040" w:right="0" w:firstLine="0"/>
        <w:jc w:val="left"/>
        <w:rPr>
          <w:sz w:val="21"/>
        </w:rPr>
      </w:pPr>
      <w:r>
        <w:rPr>
          <w:sz w:val="21"/>
        </w:rPr>
        <w:t>附件四：</w:t>
      </w:r>
    </w:p>
    <w:p>
      <w:pPr>
        <w:pStyle w:val="11"/>
        <w:rPr>
          <w:sz w:val="20"/>
        </w:rPr>
      </w:pPr>
    </w:p>
    <w:p>
      <w:pPr>
        <w:pStyle w:val="11"/>
        <w:rPr>
          <w:sz w:val="20"/>
        </w:rPr>
      </w:pPr>
    </w:p>
    <w:p>
      <w:pPr>
        <w:pStyle w:val="11"/>
        <w:spacing w:before="11"/>
        <w:rPr>
          <w:sz w:val="21"/>
        </w:rPr>
      </w:pPr>
    </w:p>
    <w:p>
      <w:pPr>
        <w:pStyle w:val="8"/>
        <w:ind w:left="3279"/>
      </w:pPr>
      <w:r>
        <w:t>投标保证金退款账户信息</w:t>
      </w:r>
    </w:p>
    <w:p>
      <w:pPr>
        <w:pStyle w:val="9"/>
        <w:spacing w:before="239" w:line="292" w:lineRule="auto"/>
        <w:ind w:left="1040" w:right="1437" w:firstLine="840"/>
        <w:jc w:val="both"/>
      </w:pPr>
      <w:r>
        <w:rPr>
          <w:spacing w:val="-7"/>
        </w:rPr>
        <w:t>我公司参加</w:t>
      </w:r>
      <w:r>
        <w:rPr>
          <w:rFonts w:hint="eastAsia"/>
          <w:spacing w:val="-7"/>
          <w:u w:val="single"/>
          <w:lang w:eastAsia="zh-CN"/>
        </w:rPr>
        <w:t>温岭市新河镇XH010201地块</w:t>
      </w:r>
      <w:r>
        <w:rPr>
          <w:spacing w:val="-8"/>
          <w:u w:val="single"/>
        </w:rPr>
        <w:t>监理</w:t>
      </w:r>
      <w:r>
        <w:rPr>
          <w:spacing w:val="-8"/>
        </w:rPr>
        <w:t>的投标工作，现已结束。退还投标保证</w:t>
      </w:r>
      <w:r>
        <w:rPr>
          <w:spacing w:val="-3"/>
        </w:rPr>
        <w:t>金人民币</w:t>
      </w:r>
      <w:r>
        <w:rPr>
          <w:rFonts w:hint="eastAsia"/>
          <w:spacing w:val="-2"/>
          <w:u w:val="single"/>
          <w:lang w:val="en-US" w:eastAsia="zh-CN"/>
        </w:rPr>
        <w:t>壹万柒仟</w:t>
      </w:r>
      <w:r>
        <w:rPr>
          <w:spacing w:val="-2"/>
          <w:u w:val="single"/>
        </w:rPr>
        <w:t>元</w:t>
      </w:r>
      <w:r>
        <w:t>整，</w:t>
      </w:r>
      <w:r>
        <w:rPr>
          <w:rFonts w:ascii="Courier New" w:hAnsi="Courier New" w:eastAsia="Courier New"/>
        </w:rPr>
        <w:t>¥</w:t>
      </w:r>
      <w:r>
        <w:rPr>
          <w:rFonts w:hint="eastAsia"/>
          <w:u w:val="single"/>
          <w:lang w:val="en-US" w:eastAsia="zh-CN"/>
        </w:rPr>
        <w:t>17000</w:t>
      </w:r>
      <w:r>
        <w:rPr>
          <w:u w:val="single"/>
        </w:rPr>
        <w:t>.00</w:t>
      </w:r>
      <w:r>
        <w:rPr>
          <w:spacing w:val="-2"/>
        </w:rPr>
        <w:t>， 请退还至：</w:t>
      </w:r>
    </w:p>
    <w:p>
      <w:pPr>
        <w:tabs>
          <w:tab w:val="left" w:pos="6499"/>
          <w:tab w:val="left" w:pos="6639"/>
        </w:tabs>
        <w:spacing w:before="158" w:line="398" w:lineRule="auto"/>
        <w:ind w:left="1040" w:right="3863" w:firstLine="0"/>
        <w:jc w:val="left"/>
        <w:rPr>
          <w:sz w:val="28"/>
        </w:rPr>
      </w:pPr>
      <w:r>
        <w:rPr>
          <w:sz w:val="28"/>
        </w:rPr>
        <w:t>户名</w:t>
      </w:r>
      <w:r>
        <w:rPr>
          <w:sz w:val="28"/>
          <w:u w:val="single"/>
        </w:rPr>
        <w:t xml:space="preserve"> </w:t>
      </w:r>
      <w:r>
        <w:rPr>
          <w:sz w:val="28"/>
          <w:u w:val="single"/>
        </w:rPr>
        <w:tab/>
      </w:r>
      <w:r>
        <w:rPr>
          <w:sz w:val="28"/>
          <w:u w:val="single"/>
        </w:rPr>
        <w:tab/>
      </w:r>
      <w:r>
        <w:rPr>
          <w:spacing w:val="-17"/>
          <w:sz w:val="28"/>
        </w:rPr>
        <w:t xml:space="preserve">， </w:t>
      </w:r>
      <w:r>
        <w:rPr>
          <w:sz w:val="28"/>
        </w:rPr>
        <w:t>开</w:t>
      </w:r>
      <w:r>
        <w:rPr>
          <w:spacing w:val="-3"/>
          <w:sz w:val="28"/>
        </w:rPr>
        <w:t>户</w:t>
      </w:r>
      <w:r>
        <w:rPr>
          <w:sz w:val="28"/>
        </w:rPr>
        <w:t>行</w:t>
      </w:r>
      <w:r>
        <w:rPr>
          <w:sz w:val="28"/>
          <w:u w:val="single"/>
        </w:rPr>
        <w:t xml:space="preserve"> </w:t>
      </w:r>
      <w:r>
        <w:rPr>
          <w:sz w:val="28"/>
          <w:u w:val="single"/>
        </w:rPr>
        <w:tab/>
      </w:r>
      <w:r>
        <w:rPr>
          <w:sz w:val="28"/>
        </w:rPr>
        <w:t>， 联</w:t>
      </w:r>
      <w:r>
        <w:rPr>
          <w:spacing w:val="-3"/>
          <w:sz w:val="28"/>
        </w:rPr>
        <w:t>行</w:t>
      </w:r>
      <w:r>
        <w:rPr>
          <w:sz w:val="28"/>
        </w:rPr>
        <w:t>号</w:t>
      </w:r>
      <w:r>
        <w:rPr>
          <w:sz w:val="28"/>
          <w:u w:val="single"/>
        </w:rPr>
        <w:t xml:space="preserve"> </w:t>
      </w:r>
      <w:r>
        <w:rPr>
          <w:sz w:val="28"/>
          <w:u w:val="single"/>
        </w:rPr>
        <w:tab/>
      </w:r>
      <w:r>
        <w:rPr>
          <w:sz w:val="28"/>
        </w:rPr>
        <w:t>， 帐号</w:t>
      </w:r>
      <w:r>
        <w:rPr>
          <w:sz w:val="28"/>
          <w:u w:val="single"/>
        </w:rPr>
        <w:t xml:space="preserve"> </w:t>
      </w:r>
      <w:r>
        <w:rPr>
          <w:sz w:val="28"/>
          <w:u w:val="single"/>
        </w:rPr>
        <w:tab/>
      </w:r>
      <w:r>
        <w:rPr>
          <w:sz w:val="28"/>
          <w:u w:val="single"/>
        </w:rPr>
        <w:t>。</w:t>
      </w:r>
    </w:p>
    <w:sectPr>
      <w:pgSz w:w="11910" w:h="16840"/>
      <w:pgMar w:top="1520" w:right="360" w:bottom="1300" w:left="760" w:header="0" w:footer="110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12"/>
      </w:rPr>
    </w:pPr>
    <w:r>
      <mc:AlternateContent>
        <mc:Choice Requires="wps">
          <w:drawing>
            <wp:anchor distT="0" distB="0" distL="114300" distR="114300" simplePos="0" relativeHeight="249649152" behindDoc="1" locked="0" layoutInCell="1" allowOverlap="1">
              <wp:simplePos x="0" y="0"/>
              <wp:positionH relativeFrom="page">
                <wp:posOffset>3708400</wp:posOffset>
              </wp:positionH>
              <wp:positionV relativeFrom="page">
                <wp:posOffset>9848215</wp:posOffset>
              </wp:positionV>
              <wp:extent cx="214630" cy="1524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21463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6</w:t>
                          </w:r>
                          <w:r>
                            <w:fldChar w:fldCharType="end"/>
                          </w:r>
                          <w:r>
                            <w:rPr>
                              <w:rFonts w:ascii="Times New Roman"/>
                              <w:sz w:val="18"/>
                            </w:rPr>
                            <w:t xml:space="preserve"> -</w:t>
                          </w:r>
                        </w:p>
                      </w:txbxContent>
                    </wps:txbx>
                    <wps:bodyPr lIns="0" tIns="0" rIns="0" bIns="0" upright="1"/>
                  </wps:wsp>
                </a:graphicData>
              </a:graphic>
            </wp:anchor>
          </w:drawing>
        </mc:Choice>
        <mc:Fallback>
          <w:pict>
            <v:shape id="文本框 1" o:spid="_x0000_s1026" o:spt="202" type="#_x0000_t202" style="position:absolute;left:0pt;margin-left:292pt;margin-top:775.45pt;height:12pt;width:16.9pt;mso-position-horizontal-relative:page;mso-position-vertical-relative:page;z-index:-253667328;mso-width-relative:page;mso-height-relative:page;" filled="f" stroked="f" coordsize="21600,21600" o:gfxdata="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ojyetNsAAAANAQAADwAAAAAA&#10;AAABACAAAAAiAAAAZHJzL2Rvd25yZXYueG1sUEsBAhQAFAAAAAgAh07iQK3CqH+eAQAAIwMAAA4A&#10;AAAAAAAAAQAgAAAAKgEAAGRycy9lMm9Eb2MueG1sUEsFBgAAAAAGAAYAWQEAADoFA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6</w:t>
                    </w:r>
                    <w:r>
                      <w:fldChar w:fldCharType="end"/>
                    </w:r>
                    <w:r>
                      <w:rPr>
                        <w:rFonts w:ascii="Times New Roman"/>
                        <w:sz w:val="1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49650176" behindDoc="1" locked="0" layoutInCell="1" allowOverlap="1">
              <wp:simplePos x="0" y="0"/>
              <wp:positionH relativeFrom="page">
                <wp:posOffset>3679825</wp:posOffset>
              </wp:positionH>
              <wp:positionV relativeFrom="page">
                <wp:posOffset>9848215</wp:posOffset>
              </wp:positionV>
              <wp:extent cx="272415" cy="1524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272415"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10</w:t>
                          </w:r>
                          <w:r>
                            <w:fldChar w:fldCharType="end"/>
                          </w:r>
                          <w:r>
                            <w:rPr>
                              <w:rFonts w:ascii="Times New Roman"/>
                              <w:sz w:val="18"/>
                            </w:rPr>
                            <w:t xml:space="preserve"> -</w:t>
                          </w:r>
                        </w:p>
                      </w:txbxContent>
                    </wps:txbx>
                    <wps:bodyPr lIns="0" tIns="0" rIns="0" bIns="0" upright="1"/>
                  </wps:wsp>
                </a:graphicData>
              </a:graphic>
            </wp:anchor>
          </w:drawing>
        </mc:Choice>
        <mc:Fallback>
          <w:pict>
            <v:shape id="文本框 2" o:spid="_x0000_s1026" o:spt="202" type="#_x0000_t202" style="position:absolute;left:0pt;margin-left:289.75pt;margin-top:775.45pt;height:12pt;width:21.45pt;mso-position-horizontal-relative:page;mso-position-vertical-relative:page;z-index:-253666304;mso-width-relative:page;mso-height-relative:page;" filled="f" stroked="f" coordsize="21600,21600" o:gfxdata="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9BvbbAAAADQEAAA8AAAAA&#10;AAAAAQAgAAAAIgAAAGRycy9kb3ducmV2LnhtbFBLAQIUABQAAAAIAIdO4kAUlbOAnwEAACMDAAAO&#10;AAAAAAAAAAEAIAAAACoBAABkcnMvZTJvRG9jLnhtbFBLBQYAAAAABgAGAFkBAAA7BQ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10</w:t>
                    </w:r>
                    <w:r>
                      <w:fldChar w:fldCharType="end"/>
                    </w:r>
                    <w:r>
                      <w:rPr>
                        <w:rFonts w:ascii="Times New Roman"/>
                        <w:sz w:val="1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1787" w:hanging="601"/>
        <w:jc w:val="left"/>
      </w:pPr>
      <w:rPr>
        <w:rFonts w:hint="default" w:ascii="宋体" w:hAnsi="宋体" w:eastAsia="宋体" w:cs="宋体"/>
        <w:w w:val="100"/>
        <w:sz w:val="22"/>
        <w:szCs w:val="22"/>
      </w:rPr>
    </w:lvl>
    <w:lvl w:ilvl="1" w:tentative="0">
      <w:start w:val="0"/>
      <w:numFmt w:val="bullet"/>
      <w:lvlText w:val="•"/>
      <w:lvlJc w:val="left"/>
      <w:pPr>
        <w:ind w:left="2680" w:hanging="601"/>
      </w:pPr>
      <w:rPr>
        <w:rFonts w:hint="default"/>
      </w:rPr>
    </w:lvl>
    <w:lvl w:ilvl="2" w:tentative="0">
      <w:start w:val="0"/>
      <w:numFmt w:val="bullet"/>
      <w:lvlText w:val="•"/>
      <w:lvlJc w:val="left"/>
      <w:pPr>
        <w:ind w:left="3581" w:hanging="601"/>
      </w:pPr>
      <w:rPr>
        <w:rFonts w:hint="default"/>
      </w:rPr>
    </w:lvl>
    <w:lvl w:ilvl="3" w:tentative="0">
      <w:start w:val="0"/>
      <w:numFmt w:val="bullet"/>
      <w:lvlText w:val="•"/>
      <w:lvlJc w:val="left"/>
      <w:pPr>
        <w:ind w:left="4481" w:hanging="601"/>
      </w:pPr>
      <w:rPr>
        <w:rFonts w:hint="default"/>
      </w:rPr>
    </w:lvl>
    <w:lvl w:ilvl="4" w:tentative="0">
      <w:start w:val="0"/>
      <w:numFmt w:val="bullet"/>
      <w:lvlText w:val="•"/>
      <w:lvlJc w:val="left"/>
      <w:pPr>
        <w:ind w:left="5382" w:hanging="601"/>
      </w:pPr>
      <w:rPr>
        <w:rFonts w:hint="default"/>
      </w:rPr>
    </w:lvl>
    <w:lvl w:ilvl="5" w:tentative="0">
      <w:start w:val="0"/>
      <w:numFmt w:val="bullet"/>
      <w:lvlText w:val="•"/>
      <w:lvlJc w:val="left"/>
      <w:pPr>
        <w:ind w:left="6283" w:hanging="601"/>
      </w:pPr>
      <w:rPr>
        <w:rFonts w:hint="default"/>
      </w:rPr>
    </w:lvl>
    <w:lvl w:ilvl="6" w:tentative="0">
      <w:start w:val="0"/>
      <w:numFmt w:val="bullet"/>
      <w:lvlText w:val="•"/>
      <w:lvlJc w:val="left"/>
      <w:pPr>
        <w:ind w:left="7183" w:hanging="601"/>
      </w:pPr>
      <w:rPr>
        <w:rFonts w:hint="default"/>
      </w:rPr>
    </w:lvl>
    <w:lvl w:ilvl="7" w:tentative="0">
      <w:start w:val="0"/>
      <w:numFmt w:val="bullet"/>
      <w:lvlText w:val="•"/>
      <w:lvlJc w:val="left"/>
      <w:pPr>
        <w:ind w:left="8084" w:hanging="601"/>
      </w:pPr>
      <w:rPr>
        <w:rFonts w:hint="default"/>
      </w:rPr>
    </w:lvl>
    <w:lvl w:ilvl="8" w:tentative="0">
      <w:start w:val="0"/>
      <w:numFmt w:val="bullet"/>
      <w:lvlText w:val="•"/>
      <w:lvlJc w:val="left"/>
      <w:pPr>
        <w:ind w:left="8984" w:hanging="601"/>
      </w:pPr>
      <w:rPr>
        <w:rFonts w:hint="default"/>
      </w:rPr>
    </w:lvl>
  </w:abstractNum>
  <w:abstractNum w:abstractNumId="1">
    <w:nsid w:val="9C8AC8EF"/>
    <w:multiLevelType w:val="multilevel"/>
    <w:tmpl w:val="9C8AC8EF"/>
    <w:lvl w:ilvl="0" w:tentative="0">
      <w:start w:val="1"/>
      <w:numFmt w:val="decimal"/>
      <w:lvlText w:val="（%1）"/>
      <w:lvlJc w:val="left"/>
      <w:pPr>
        <w:ind w:left="826" w:hanging="601"/>
        <w:jc w:val="left"/>
      </w:pPr>
      <w:rPr>
        <w:rFonts w:hint="default" w:ascii="宋体" w:hAnsi="宋体" w:eastAsia="宋体" w:cs="宋体"/>
        <w:spacing w:val="-15"/>
        <w:w w:val="100"/>
        <w:sz w:val="22"/>
        <w:szCs w:val="22"/>
      </w:rPr>
    </w:lvl>
    <w:lvl w:ilvl="1" w:tentative="0">
      <w:start w:val="0"/>
      <w:numFmt w:val="bullet"/>
      <w:lvlText w:val="•"/>
      <w:lvlJc w:val="left"/>
      <w:pPr>
        <w:ind w:left="1816" w:hanging="601"/>
      </w:pPr>
      <w:rPr>
        <w:rFonts w:hint="default"/>
      </w:rPr>
    </w:lvl>
    <w:lvl w:ilvl="2" w:tentative="0">
      <w:start w:val="0"/>
      <w:numFmt w:val="bullet"/>
      <w:lvlText w:val="•"/>
      <w:lvlJc w:val="left"/>
      <w:pPr>
        <w:ind w:left="2813" w:hanging="601"/>
      </w:pPr>
      <w:rPr>
        <w:rFonts w:hint="default"/>
      </w:rPr>
    </w:lvl>
    <w:lvl w:ilvl="3" w:tentative="0">
      <w:start w:val="0"/>
      <w:numFmt w:val="bullet"/>
      <w:lvlText w:val="•"/>
      <w:lvlJc w:val="left"/>
      <w:pPr>
        <w:ind w:left="3809" w:hanging="601"/>
      </w:pPr>
      <w:rPr>
        <w:rFonts w:hint="default"/>
      </w:rPr>
    </w:lvl>
    <w:lvl w:ilvl="4" w:tentative="0">
      <w:start w:val="0"/>
      <w:numFmt w:val="bullet"/>
      <w:lvlText w:val="•"/>
      <w:lvlJc w:val="left"/>
      <w:pPr>
        <w:ind w:left="4806" w:hanging="601"/>
      </w:pPr>
      <w:rPr>
        <w:rFonts w:hint="default"/>
      </w:rPr>
    </w:lvl>
    <w:lvl w:ilvl="5" w:tentative="0">
      <w:start w:val="0"/>
      <w:numFmt w:val="bullet"/>
      <w:lvlText w:val="•"/>
      <w:lvlJc w:val="left"/>
      <w:pPr>
        <w:ind w:left="5803" w:hanging="601"/>
      </w:pPr>
      <w:rPr>
        <w:rFonts w:hint="default"/>
      </w:rPr>
    </w:lvl>
    <w:lvl w:ilvl="6" w:tentative="0">
      <w:start w:val="0"/>
      <w:numFmt w:val="bullet"/>
      <w:lvlText w:val="•"/>
      <w:lvlJc w:val="left"/>
      <w:pPr>
        <w:ind w:left="6799" w:hanging="601"/>
      </w:pPr>
      <w:rPr>
        <w:rFonts w:hint="default"/>
      </w:rPr>
    </w:lvl>
    <w:lvl w:ilvl="7" w:tentative="0">
      <w:start w:val="0"/>
      <w:numFmt w:val="bullet"/>
      <w:lvlText w:val="•"/>
      <w:lvlJc w:val="left"/>
      <w:pPr>
        <w:ind w:left="7796" w:hanging="601"/>
      </w:pPr>
      <w:rPr>
        <w:rFonts w:hint="default"/>
      </w:rPr>
    </w:lvl>
    <w:lvl w:ilvl="8" w:tentative="0">
      <w:start w:val="0"/>
      <w:numFmt w:val="bullet"/>
      <w:lvlText w:val="•"/>
      <w:lvlJc w:val="left"/>
      <w:pPr>
        <w:ind w:left="8792" w:hanging="601"/>
      </w:pPr>
      <w:rPr>
        <w:rFonts w:hint="default"/>
      </w:rPr>
    </w:lvl>
  </w:abstractNum>
  <w:abstractNum w:abstractNumId="2">
    <w:nsid w:val="B5E306ED"/>
    <w:multiLevelType w:val="multilevel"/>
    <w:tmpl w:val="B5E306ED"/>
    <w:lvl w:ilvl="0" w:tentative="0">
      <w:start w:val="1"/>
      <w:numFmt w:val="decimal"/>
      <w:lvlText w:val="（%1）"/>
      <w:lvlJc w:val="left"/>
      <w:pPr>
        <w:ind w:left="1907" w:hanging="601"/>
        <w:jc w:val="left"/>
      </w:pPr>
      <w:rPr>
        <w:rFonts w:hint="default" w:ascii="宋体" w:hAnsi="宋体" w:eastAsia="宋体" w:cs="宋体"/>
        <w:w w:val="100"/>
        <w:sz w:val="22"/>
        <w:szCs w:val="22"/>
      </w:rPr>
    </w:lvl>
    <w:lvl w:ilvl="1" w:tentative="0">
      <w:start w:val="0"/>
      <w:numFmt w:val="bullet"/>
      <w:lvlText w:val="•"/>
      <w:lvlJc w:val="left"/>
      <w:pPr>
        <w:ind w:left="2788" w:hanging="601"/>
      </w:pPr>
      <w:rPr>
        <w:rFonts w:hint="default"/>
      </w:rPr>
    </w:lvl>
    <w:lvl w:ilvl="2" w:tentative="0">
      <w:start w:val="0"/>
      <w:numFmt w:val="bullet"/>
      <w:lvlText w:val="•"/>
      <w:lvlJc w:val="left"/>
      <w:pPr>
        <w:ind w:left="3677" w:hanging="601"/>
      </w:pPr>
      <w:rPr>
        <w:rFonts w:hint="default"/>
      </w:rPr>
    </w:lvl>
    <w:lvl w:ilvl="3" w:tentative="0">
      <w:start w:val="0"/>
      <w:numFmt w:val="bullet"/>
      <w:lvlText w:val="•"/>
      <w:lvlJc w:val="left"/>
      <w:pPr>
        <w:ind w:left="4565" w:hanging="601"/>
      </w:pPr>
      <w:rPr>
        <w:rFonts w:hint="default"/>
      </w:rPr>
    </w:lvl>
    <w:lvl w:ilvl="4" w:tentative="0">
      <w:start w:val="0"/>
      <w:numFmt w:val="bullet"/>
      <w:lvlText w:val="•"/>
      <w:lvlJc w:val="left"/>
      <w:pPr>
        <w:ind w:left="5454" w:hanging="601"/>
      </w:pPr>
      <w:rPr>
        <w:rFonts w:hint="default"/>
      </w:rPr>
    </w:lvl>
    <w:lvl w:ilvl="5" w:tentative="0">
      <w:start w:val="0"/>
      <w:numFmt w:val="bullet"/>
      <w:lvlText w:val="•"/>
      <w:lvlJc w:val="left"/>
      <w:pPr>
        <w:ind w:left="6343" w:hanging="601"/>
      </w:pPr>
      <w:rPr>
        <w:rFonts w:hint="default"/>
      </w:rPr>
    </w:lvl>
    <w:lvl w:ilvl="6" w:tentative="0">
      <w:start w:val="0"/>
      <w:numFmt w:val="bullet"/>
      <w:lvlText w:val="•"/>
      <w:lvlJc w:val="left"/>
      <w:pPr>
        <w:ind w:left="7231" w:hanging="601"/>
      </w:pPr>
      <w:rPr>
        <w:rFonts w:hint="default"/>
      </w:rPr>
    </w:lvl>
    <w:lvl w:ilvl="7" w:tentative="0">
      <w:start w:val="0"/>
      <w:numFmt w:val="bullet"/>
      <w:lvlText w:val="•"/>
      <w:lvlJc w:val="left"/>
      <w:pPr>
        <w:ind w:left="8120" w:hanging="601"/>
      </w:pPr>
      <w:rPr>
        <w:rFonts w:hint="default"/>
      </w:rPr>
    </w:lvl>
    <w:lvl w:ilvl="8" w:tentative="0">
      <w:start w:val="0"/>
      <w:numFmt w:val="bullet"/>
      <w:lvlText w:val="•"/>
      <w:lvlJc w:val="left"/>
      <w:pPr>
        <w:ind w:left="9008" w:hanging="601"/>
      </w:pPr>
      <w:rPr>
        <w:rFonts w:hint="default"/>
      </w:rPr>
    </w:lvl>
  </w:abstractNum>
  <w:abstractNum w:abstractNumId="3">
    <w:nsid w:val="BF205925"/>
    <w:multiLevelType w:val="multilevel"/>
    <w:tmpl w:val="BF205925"/>
    <w:lvl w:ilvl="0" w:tentative="0">
      <w:start w:val="1"/>
      <w:numFmt w:val="decimal"/>
      <w:lvlText w:val="%1."/>
      <w:lvlJc w:val="left"/>
      <w:pPr>
        <w:ind w:left="1126" w:hanging="300"/>
        <w:jc w:val="left"/>
      </w:pPr>
      <w:rPr>
        <w:rFonts w:hint="default" w:ascii="Times New Roman" w:hAnsi="Times New Roman" w:eastAsia="Times New Roman" w:cs="Times New Roman"/>
        <w:b/>
        <w:bCs/>
        <w:w w:val="99"/>
        <w:sz w:val="24"/>
        <w:szCs w:val="24"/>
      </w:rPr>
    </w:lvl>
    <w:lvl w:ilvl="1" w:tentative="0">
      <w:start w:val="1"/>
      <w:numFmt w:val="decimal"/>
      <w:lvlText w:val="%1.%2"/>
      <w:lvlJc w:val="left"/>
      <w:pPr>
        <w:ind w:left="1786" w:hanging="480"/>
        <w:jc w:val="left"/>
      </w:pPr>
      <w:rPr>
        <w:rFonts w:hint="default" w:ascii="宋体" w:hAnsi="宋体" w:eastAsia="宋体" w:cs="宋体"/>
        <w:w w:val="100"/>
        <w:sz w:val="24"/>
        <w:szCs w:val="24"/>
      </w:rPr>
    </w:lvl>
    <w:lvl w:ilvl="2" w:tentative="0">
      <w:start w:val="0"/>
      <w:numFmt w:val="bullet"/>
      <w:lvlText w:val="•"/>
      <w:lvlJc w:val="left"/>
      <w:pPr>
        <w:ind w:left="1780" w:hanging="480"/>
      </w:pPr>
      <w:rPr>
        <w:rFonts w:hint="default"/>
      </w:rPr>
    </w:lvl>
    <w:lvl w:ilvl="3" w:tentative="0">
      <w:start w:val="0"/>
      <w:numFmt w:val="bullet"/>
      <w:lvlText w:val="•"/>
      <w:lvlJc w:val="left"/>
      <w:pPr>
        <w:ind w:left="2905" w:hanging="480"/>
      </w:pPr>
      <w:rPr>
        <w:rFonts w:hint="default"/>
      </w:rPr>
    </w:lvl>
    <w:lvl w:ilvl="4" w:tentative="0">
      <w:start w:val="0"/>
      <w:numFmt w:val="bullet"/>
      <w:lvlText w:val="•"/>
      <w:lvlJc w:val="left"/>
      <w:pPr>
        <w:ind w:left="4031" w:hanging="480"/>
      </w:pPr>
      <w:rPr>
        <w:rFonts w:hint="default"/>
      </w:rPr>
    </w:lvl>
    <w:lvl w:ilvl="5" w:tentative="0">
      <w:start w:val="0"/>
      <w:numFmt w:val="bullet"/>
      <w:lvlText w:val="•"/>
      <w:lvlJc w:val="left"/>
      <w:pPr>
        <w:ind w:left="5157" w:hanging="480"/>
      </w:pPr>
      <w:rPr>
        <w:rFonts w:hint="default"/>
      </w:rPr>
    </w:lvl>
    <w:lvl w:ilvl="6" w:tentative="0">
      <w:start w:val="0"/>
      <w:numFmt w:val="bullet"/>
      <w:lvlText w:val="•"/>
      <w:lvlJc w:val="left"/>
      <w:pPr>
        <w:ind w:left="6283" w:hanging="480"/>
      </w:pPr>
      <w:rPr>
        <w:rFonts w:hint="default"/>
      </w:rPr>
    </w:lvl>
    <w:lvl w:ilvl="7" w:tentative="0">
      <w:start w:val="0"/>
      <w:numFmt w:val="bullet"/>
      <w:lvlText w:val="•"/>
      <w:lvlJc w:val="left"/>
      <w:pPr>
        <w:ind w:left="7408" w:hanging="480"/>
      </w:pPr>
      <w:rPr>
        <w:rFonts w:hint="default"/>
      </w:rPr>
    </w:lvl>
    <w:lvl w:ilvl="8" w:tentative="0">
      <w:start w:val="0"/>
      <w:numFmt w:val="bullet"/>
      <w:lvlText w:val="•"/>
      <w:lvlJc w:val="left"/>
      <w:pPr>
        <w:ind w:left="8534" w:hanging="480"/>
      </w:pPr>
      <w:rPr>
        <w:rFonts w:hint="default"/>
      </w:rPr>
    </w:lvl>
  </w:abstractNum>
  <w:abstractNum w:abstractNumId="4">
    <w:nsid w:val="C8879AEF"/>
    <w:multiLevelType w:val="multilevel"/>
    <w:tmpl w:val="C8879AEF"/>
    <w:lvl w:ilvl="0" w:tentative="0">
      <w:start w:val="3"/>
      <w:numFmt w:val="decimal"/>
      <w:lvlText w:val="%1"/>
      <w:lvlJc w:val="left"/>
      <w:pPr>
        <w:ind w:left="826" w:hanging="908"/>
        <w:jc w:val="left"/>
      </w:pPr>
      <w:rPr>
        <w:rFonts w:hint="default"/>
      </w:rPr>
    </w:lvl>
    <w:lvl w:ilvl="1" w:tentative="0">
      <w:start w:val="5"/>
      <w:numFmt w:val="decimal"/>
      <w:lvlText w:val="%1.%2"/>
      <w:lvlJc w:val="left"/>
      <w:pPr>
        <w:ind w:left="826" w:hanging="908"/>
        <w:jc w:val="left"/>
      </w:pPr>
      <w:rPr>
        <w:rFonts w:hint="default"/>
      </w:rPr>
    </w:lvl>
    <w:lvl w:ilvl="2" w:tentative="0">
      <w:start w:val="1"/>
      <w:numFmt w:val="decimal"/>
      <w:lvlText w:val="%1.%2.%3"/>
      <w:lvlJc w:val="left"/>
      <w:pPr>
        <w:ind w:left="826" w:hanging="908"/>
        <w:jc w:val="left"/>
      </w:pPr>
      <w:rPr>
        <w:rFonts w:hint="default"/>
      </w:rPr>
    </w:lvl>
    <w:lvl w:ilvl="3" w:tentative="0">
      <w:start w:val="2"/>
      <w:numFmt w:val="decimal"/>
      <w:lvlText w:val="%1.%2.%3.%4"/>
      <w:lvlJc w:val="left"/>
      <w:pPr>
        <w:ind w:left="826" w:hanging="908"/>
        <w:jc w:val="left"/>
      </w:pPr>
      <w:rPr>
        <w:rFonts w:hint="default" w:ascii="宋体" w:hAnsi="宋体" w:eastAsia="宋体" w:cs="宋体"/>
        <w:b/>
        <w:bCs/>
        <w:spacing w:val="0"/>
        <w:w w:val="99"/>
        <w:sz w:val="24"/>
        <w:szCs w:val="24"/>
        <w:u w:val="single" w:color="000000"/>
      </w:rPr>
    </w:lvl>
    <w:lvl w:ilvl="4" w:tentative="0">
      <w:start w:val="0"/>
      <w:numFmt w:val="bullet"/>
      <w:lvlText w:val="•"/>
      <w:lvlJc w:val="left"/>
      <w:pPr>
        <w:ind w:left="4806" w:hanging="908"/>
      </w:pPr>
      <w:rPr>
        <w:rFonts w:hint="default"/>
      </w:rPr>
    </w:lvl>
    <w:lvl w:ilvl="5" w:tentative="0">
      <w:start w:val="0"/>
      <w:numFmt w:val="bullet"/>
      <w:lvlText w:val="•"/>
      <w:lvlJc w:val="left"/>
      <w:pPr>
        <w:ind w:left="5803" w:hanging="908"/>
      </w:pPr>
      <w:rPr>
        <w:rFonts w:hint="default"/>
      </w:rPr>
    </w:lvl>
    <w:lvl w:ilvl="6" w:tentative="0">
      <w:start w:val="0"/>
      <w:numFmt w:val="bullet"/>
      <w:lvlText w:val="•"/>
      <w:lvlJc w:val="left"/>
      <w:pPr>
        <w:ind w:left="6799" w:hanging="908"/>
      </w:pPr>
      <w:rPr>
        <w:rFonts w:hint="default"/>
      </w:rPr>
    </w:lvl>
    <w:lvl w:ilvl="7" w:tentative="0">
      <w:start w:val="0"/>
      <w:numFmt w:val="bullet"/>
      <w:lvlText w:val="•"/>
      <w:lvlJc w:val="left"/>
      <w:pPr>
        <w:ind w:left="7796" w:hanging="908"/>
      </w:pPr>
      <w:rPr>
        <w:rFonts w:hint="default"/>
      </w:rPr>
    </w:lvl>
    <w:lvl w:ilvl="8" w:tentative="0">
      <w:start w:val="0"/>
      <w:numFmt w:val="bullet"/>
      <w:lvlText w:val="•"/>
      <w:lvlJc w:val="left"/>
      <w:pPr>
        <w:ind w:left="8792" w:hanging="908"/>
      </w:pPr>
      <w:rPr>
        <w:rFonts w:hint="default"/>
      </w:rPr>
    </w:lvl>
  </w:abstractNum>
  <w:abstractNum w:abstractNumId="5">
    <w:nsid w:val="D7F9FE59"/>
    <w:multiLevelType w:val="multilevel"/>
    <w:tmpl w:val="D7F9FE59"/>
    <w:lvl w:ilvl="0" w:tentative="0">
      <w:start w:val="1"/>
      <w:numFmt w:val="decimal"/>
      <w:lvlText w:val="（%1）"/>
      <w:lvlJc w:val="left"/>
      <w:pPr>
        <w:ind w:left="1907" w:hanging="601"/>
        <w:jc w:val="left"/>
      </w:pPr>
      <w:rPr>
        <w:rFonts w:hint="default" w:ascii="宋体" w:hAnsi="宋体" w:eastAsia="宋体" w:cs="宋体"/>
        <w:w w:val="100"/>
        <w:sz w:val="22"/>
        <w:szCs w:val="22"/>
      </w:rPr>
    </w:lvl>
    <w:lvl w:ilvl="1" w:tentative="0">
      <w:start w:val="0"/>
      <w:numFmt w:val="bullet"/>
      <w:lvlText w:val="•"/>
      <w:lvlJc w:val="left"/>
      <w:pPr>
        <w:ind w:left="2788" w:hanging="601"/>
      </w:pPr>
      <w:rPr>
        <w:rFonts w:hint="default"/>
      </w:rPr>
    </w:lvl>
    <w:lvl w:ilvl="2" w:tentative="0">
      <w:start w:val="0"/>
      <w:numFmt w:val="bullet"/>
      <w:lvlText w:val="•"/>
      <w:lvlJc w:val="left"/>
      <w:pPr>
        <w:ind w:left="3677" w:hanging="601"/>
      </w:pPr>
      <w:rPr>
        <w:rFonts w:hint="default"/>
      </w:rPr>
    </w:lvl>
    <w:lvl w:ilvl="3" w:tentative="0">
      <w:start w:val="0"/>
      <w:numFmt w:val="bullet"/>
      <w:lvlText w:val="•"/>
      <w:lvlJc w:val="left"/>
      <w:pPr>
        <w:ind w:left="4565" w:hanging="601"/>
      </w:pPr>
      <w:rPr>
        <w:rFonts w:hint="default"/>
      </w:rPr>
    </w:lvl>
    <w:lvl w:ilvl="4" w:tentative="0">
      <w:start w:val="0"/>
      <w:numFmt w:val="bullet"/>
      <w:lvlText w:val="•"/>
      <w:lvlJc w:val="left"/>
      <w:pPr>
        <w:ind w:left="5454" w:hanging="601"/>
      </w:pPr>
      <w:rPr>
        <w:rFonts w:hint="default"/>
      </w:rPr>
    </w:lvl>
    <w:lvl w:ilvl="5" w:tentative="0">
      <w:start w:val="0"/>
      <w:numFmt w:val="bullet"/>
      <w:lvlText w:val="•"/>
      <w:lvlJc w:val="left"/>
      <w:pPr>
        <w:ind w:left="6343" w:hanging="601"/>
      </w:pPr>
      <w:rPr>
        <w:rFonts w:hint="default"/>
      </w:rPr>
    </w:lvl>
    <w:lvl w:ilvl="6" w:tentative="0">
      <w:start w:val="0"/>
      <w:numFmt w:val="bullet"/>
      <w:lvlText w:val="•"/>
      <w:lvlJc w:val="left"/>
      <w:pPr>
        <w:ind w:left="7231" w:hanging="601"/>
      </w:pPr>
      <w:rPr>
        <w:rFonts w:hint="default"/>
      </w:rPr>
    </w:lvl>
    <w:lvl w:ilvl="7" w:tentative="0">
      <w:start w:val="0"/>
      <w:numFmt w:val="bullet"/>
      <w:lvlText w:val="•"/>
      <w:lvlJc w:val="left"/>
      <w:pPr>
        <w:ind w:left="8120" w:hanging="601"/>
      </w:pPr>
      <w:rPr>
        <w:rFonts w:hint="default"/>
      </w:rPr>
    </w:lvl>
    <w:lvl w:ilvl="8" w:tentative="0">
      <w:start w:val="0"/>
      <w:numFmt w:val="bullet"/>
      <w:lvlText w:val="•"/>
      <w:lvlJc w:val="left"/>
      <w:pPr>
        <w:ind w:left="9008" w:hanging="601"/>
      </w:pPr>
      <w:rPr>
        <w:rFonts w:hint="default"/>
      </w:rPr>
    </w:lvl>
  </w:abstractNum>
  <w:abstractNum w:abstractNumId="6">
    <w:nsid w:val="DCBA6B53"/>
    <w:multiLevelType w:val="multilevel"/>
    <w:tmpl w:val="DCBA6B53"/>
    <w:lvl w:ilvl="0" w:tentative="0">
      <w:start w:val="1"/>
      <w:numFmt w:val="decimal"/>
      <w:lvlText w:val="（%1）"/>
      <w:lvlJc w:val="left"/>
      <w:pPr>
        <w:ind w:left="1907" w:hanging="601"/>
        <w:jc w:val="left"/>
      </w:pPr>
      <w:rPr>
        <w:rFonts w:hint="default" w:ascii="宋体" w:hAnsi="宋体" w:eastAsia="宋体" w:cs="宋体"/>
        <w:w w:val="100"/>
        <w:sz w:val="22"/>
        <w:szCs w:val="22"/>
      </w:rPr>
    </w:lvl>
    <w:lvl w:ilvl="1" w:tentative="0">
      <w:start w:val="0"/>
      <w:numFmt w:val="bullet"/>
      <w:lvlText w:val="•"/>
      <w:lvlJc w:val="left"/>
      <w:pPr>
        <w:ind w:left="2788" w:hanging="601"/>
      </w:pPr>
      <w:rPr>
        <w:rFonts w:hint="default"/>
      </w:rPr>
    </w:lvl>
    <w:lvl w:ilvl="2" w:tentative="0">
      <w:start w:val="0"/>
      <w:numFmt w:val="bullet"/>
      <w:lvlText w:val="•"/>
      <w:lvlJc w:val="left"/>
      <w:pPr>
        <w:ind w:left="3677" w:hanging="601"/>
      </w:pPr>
      <w:rPr>
        <w:rFonts w:hint="default"/>
      </w:rPr>
    </w:lvl>
    <w:lvl w:ilvl="3" w:tentative="0">
      <w:start w:val="0"/>
      <w:numFmt w:val="bullet"/>
      <w:lvlText w:val="•"/>
      <w:lvlJc w:val="left"/>
      <w:pPr>
        <w:ind w:left="4565" w:hanging="601"/>
      </w:pPr>
      <w:rPr>
        <w:rFonts w:hint="default"/>
      </w:rPr>
    </w:lvl>
    <w:lvl w:ilvl="4" w:tentative="0">
      <w:start w:val="0"/>
      <w:numFmt w:val="bullet"/>
      <w:lvlText w:val="•"/>
      <w:lvlJc w:val="left"/>
      <w:pPr>
        <w:ind w:left="5454" w:hanging="601"/>
      </w:pPr>
      <w:rPr>
        <w:rFonts w:hint="default"/>
      </w:rPr>
    </w:lvl>
    <w:lvl w:ilvl="5" w:tentative="0">
      <w:start w:val="0"/>
      <w:numFmt w:val="bullet"/>
      <w:lvlText w:val="•"/>
      <w:lvlJc w:val="left"/>
      <w:pPr>
        <w:ind w:left="6343" w:hanging="601"/>
      </w:pPr>
      <w:rPr>
        <w:rFonts w:hint="default"/>
      </w:rPr>
    </w:lvl>
    <w:lvl w:ilvl="6" w:tentative="0">
      <w:start w:val="0"/>
      <w:numFmt w:val="bullet"/>
      <w:lvlText w:val="•"/>
      <w:lvlJc w:val="left"/>
      <w:pPr>
        <w:ind w:left="7231" w:hanging="601"/>
      </w:pPr>
      <w:rPr>
        <w:rFonts w:hint="default"/>
      </w:rPr>
    </w:lvl>
    <w:lvl w:ilvl="7" w:tentative="0">
      <w:start w:val="0"/>
      <w:numFmt w:val="bullet"/>
      <w:lvlText w:val="•"/>
      <w:lvlJc w:val="left"/>
      <w:pPr>
        <w:ind w:left="8120" w:hanging="601"/>
      </w:pPr>
      <w:rPr>
        <w:rFonts w:hint="default"/>
      </w:rPr>
    </w:lvl>
    <w:lvl w:ilvl="8" w:tentative="0">
      <w:start w:val="0"/>
      <w:numFmt w:val="bullet"/>
      <w:lvlText w:val="•"/>
      <w:lvlJc w:val="left"/>
      <w:pPr>
        <w:ind w:left="9008" w:hanging="601"/>
      </w:pPr>
      <w:rPr>
        <w:rFonts w:hint="default"/>
      </w:rPr>
    </w:lvl>
  </w:abstractNum>
  <w:abstractNum w:abstractNumId="7">
    <w:nsid w:val="F4B5D9F5"/>
    <w:multiLevelType w:val="multilevel"/>
    <w:tmpl w:val="F4B5D9F5"/>
    <w:lvl w:ilvl="0" w:tentative="0">
      <w:start w:val="3"/>
      <w:numFmt w:val="decimal"/>
      <w:lvlText w:val="%1"/>
      <w:lvlJc w:val="left"/>
      <w:pPr>
        <w:ind w:left="2196" w:hanging="900"/>
        <w:jc w:val="left"/>
      </w:pPr>
      <w:rPr>
        <w:rFonts w:hint="default"/>
      </w:rPr>
    </w:lvl>
    <w:lvl w:ilvl="1" w:tentative="0">
      <w:start w:val="5"/>
      <w:numFmt w:val="decimal"/>
      <w:lvlText w:val="%1.%2"/>
      <w:lvlJc w:val="left"/>
      <w:pPr>
        <w:ind w:left="2196" w:hanging="900"/>
        <w:jc w:val="left"/>
      </w:pPr>
      <w:rPr>
        <w:rFonts w:hint="default"/>
      </w:rPr>
    </w:lvl>
    <w:lvl w:ilvl="2" w:tentative="0">
      <w:start w:val="4"/>
      <w:numFmt w:val="decimal"/>
      <w:lvlText w:val="%1.%2.%3"/>
      <w:lvlJc w:val="left"/>
      <w:pPr>
        <w:ind w:left="2196" w:hanging="900"/>
        <w:jc w:val="left"/>
      </w:pPr>
      <w:rPr>
        <w:rFonts w:hint="default"/>
      </w:rPr>
    </w:lvl>
    <w:lvl w:ilvl="3" w:tentative="0">
      <w:start w:val="1"/>
      <w:numFmt w:val="decimal"/>
      <w:lvlText w:val="%1.%2.%3.%4"/>
      <w:lvlJc w:val="left"/>
      <w:pPr>
        <w:ind w:left="2196" w:hanging="900"/>
        <w:jc w:val="right"/>
      </w:pPr>
      <w:rPr>
        <w:rFonts w:hint="default" w:ascii="宋体" w:hAnsi="宋体" w:eastAsia="宋体" w:cs="宋体"/>
        <w:w w:val="100"/>
        <w:sz w:val="24"/>
        <w:szCs w:val="24"/>
      </w:rPr>
    </w:lvl>
    <w:lvl w:ilvl="4" w:tentative="0">
      <w:start w:val="0"/>
      <w:numFmt w:val="bullet"/>
      <w:lvlText w:val="•"/>
      <w:lvlJc w:val="left"/>
      <w:pPr>
        <w:ind w:left="5634" w:hanging="900"/>
      </w:pPr>
      <w:rPr>
        <w:rFonts w:hint="default"/>
      </w:rPr>
    </w:lvl>
    <w:lvl w:ilvl="5" w:tentative="0">
      <w:start w:val="0"/>
      <w:numFmt w:val="bullet"/>
      <w:lvlText w:val="•"/>
      <w:lvlJc w:val="left"/>
      <w:pPr>
        <w:ind w:left="6493" w:hanging="900"/>
      </w:pPr>
      <w:rPr>
        <w:rFonts w:hint="default"/>
      </w:rPr>
    </w:lvl>
    <w:lvl w:ilvl="6" w:tentative="0">
      <w:start w:val="0"/>
      <w:numFmt w:val="bullet"/>
      <w:lvlText w:val="•"/>
      <w:lvlJc w:val="left"/>
      <w:pPr>
        <w:ind w:left="7351" w:hanging="900"/>
      </w:pPr>
      <w:rPr>
        <w:rFonts w:hint="default"/>
      </w:rPr>
    </w:lvl>
    <w:lvl w:ilvl="7" w:tentative="0">
      <w:start w:val="0"/>
      <w:numFmt w:val="bullet"/>
      <w:lvlText w:val="•"/>
      <w:lvlJc w:val="left"/>
      <w:pPr>
        <w:ind w:left="8210" w:hanging="900"/>
      </w:pPr>
      <w:rPr>
        <w:rFonts w:hint="default"/>
      </w:rPr>
    </w:lvl>
    <w:lvl w:ilvl="8" w:tentative="0">
      <w:start w:val="0"/>
      <w:numFmt w:val="bullet"/>
      <w:lvlText w:val="•"/>
      <w:lvlJc w:val="left"/>
      <w:pPr>
        <w:ind w:left="9068" w:hanging="900"/>
      </w:pPr>
      <w:rPr>
        <w:rFonts w:hint="default"/>
      </w:rPr>
    </w:lvl>
  </w:abstractNum>
  <w:abstractNum w:abstractNumId="8">
    <w:nsid w:val="0053208E"/>
    <w:multiLevelType w:val="multilevel"/>
    <w:tmpl w:val="0053208E"/>
    <w:lvl w:ilvl="0" w:tentative="0">
      <w:start w:val="2"/>
      <w:numFmt w:val="decimal"/>
      <w:lvlText w:val="%1"/>
      <w:lvlJc w:val="left"/>
      <w:pPr>
        <w:ind w:left="826" w:hanging="420"/>
        <w:jc w:val="left"/>
      </w:pPr>
      <w:rPr>
        <w:rFonts w:hint="default"/>
      </w:rPr>
    </w:lvl>
    <w:lvl w:ilvl="1" w:tentative="0">
      <w:start w:val="1"/>
      <w:numFmt w:val="decimal"/>
      <w:lvlText w:val="%1.%2"/>
      <w:lvlJc w:val="left"/>
      <w:pPr>
        <w:ind w:left="826" w:hanging="420"/>
        <w:jc w:val="left"/>
      </w:pPr>
      <w:rPr>
        <w:rFonts w:hint="default" w:ascii="宋体" w:hAnsi="宋体" w:eastAsia="宋体" w:cs="宋体"/>
        <w:w w:val="100"/>
        <w:sz w:val="24"/>
        <w:szCs w:val="24"/>
      </w:rPr>
    </w:lvl>
    <w:lvl w:ilvl="2" w:tentative="0">
      <w:start w:val="0"/>
      <w:numFmt w:val="bullet"/>
      <w:lvlText w:val="•"/>
      <w:lvlJc w:val="left"/>
      <w:pPr>
        <w:ind w:left="2813" w:hanging="420"/>
      </w:pPr>
      <w:rPr>
        <w:rFonts w:hint="default"/>
      </w:rPr>
    </w:lvl>
    <w:lvl w:ilvl="3" w:tentative="0">
      <w:start w:val="0"/>
      <w:numFmt w:val="bullet"/>
      <w:lvlText w:val="•"/>
      <w:lvlJc w:val="left"/>
      <w:pPr>
        <w:ind w:left="3809" w:hanging="420"/>
      </w:pPr>
      <w:rPr>
        <w:rFonts w:hint="default"/>
      </w:rPr>
    </w:lvl>
    <w:lvl w:ilvl="4" w:tentative="0">
      <w:start w:val="0"/>
      <w:numFmt w:val="bullet"/>
      <w:lvlText w:val="•"/>
      <w:lvlJc w:val="left"/>
      <w:pPr>
        <w:ind w:left="4806" w:hanging="420"/>
      </w:pPr>
      <w:rPr>
        <w:rFonts w:hint="default"/>
      </w:rPr>
    </w:lvl>
    <w:lvl w:ilvl="5" w:tentative="0">
      <w:start w:val="0"/>
      <w:numFmt w:val="bullet"/>
      <w:lvlText w:val="•"/>
      <w:lvlJc w:val="left"/>
      <w:pPr>
        <w:ind w:left="5803" w:hanging="420"/>
      </w:pPr>
      <w:rPr>
        <w:rFonts w:hint="default"/>
      </w:rPr>
    </w:lvl>
    <w:lvl w:ilvl="6" w:tentative="0">
      <w:start w:val="0"/>
      <w:numFmt w:val="bullet"/>
      <w:lvlText w:val="•"/>
      <w:lvlJc w:val="left"/>
      <w:pPr>
        <w:ind w:left="6799" w:hanging="420"/>
      </w:pPr>
      <w:rPr>
        <w:rFonts w:hint="default"/>
      </w:rPr>
    </w:lvl>
    <w:lvl w:ilvl="7" w:tentative="0">
      <w:start w:val="0"/>
      <w:numFmt w:val="bullet"/>
      <w:lvlText w:val="•"/>
      <w:lvlJc w:val="left"/>
      <w:pPr>
        <w:ind w:left="7796" w:hanging="420"/>
      </w:pPr>
      <w:rPr>
        <w:rFonts w:hint="default"/>
      </w:rPr>
    </w:lvl>
    <w:lvl w:ilvl="8" w:tentative="0">
      <w:start w:val="0"/>
      <w:numFmt w:val="bullet"/>
      <w:lvlText w:val="•"/>
      <w:lvlJc w:val="left"/>
      <w:pPr>
        <w:ind w:left="8792" w:hanging="420"/>
      </w:pPr>
      <w:rPr>
        <w:rFonts w:hint="default"/>
      </w:rPr>
    </w:lvl>
  </w:abstractNum>
  <w:abstractNum w:abstractNumId="9">
    <w:nsid w:val="0248C179"/>
    <w:multiLevelType w:val="multilevel"/>
    <w:tmpl w:val="0248C179"/>
    <w:lvl w:ilvl="0" w:tentative="0">
      <w:start w:val="1"/>
      <w:numFmt w:val="decimal"/>
      <w:lvlText w:val="（%1）"/>
      <w:lvlJc w:val="left"/>
      <w:pPr>
        <w:ind w:left="2063" w:hanging="601"/>
        <w:jc w:val="left"/>
      </w:pPr>
      <w:rPr>
        <w:rFonts w:hint="default" w:ascii="宋体" w:hAnsi="宋体" w:eastAsia="宋体" w:cs="宋体"/>
        <w:w w:val="100"/>
        <w:sz w:val="22"/>
        <w:szCs w:val="22"/>
      </w:rPr>
    </w:lvl>
    <w:lvl w:ilvl="1" w:tentative="0">
      <w:start w:val="0"/>
      <w:numFmt w:val="bullet"/>
      <w:lvlText w:val="•"/>
      <w:lvlJc w:val="left"/>
      <w:pPr>
        <w:ind w:left="2932" w:hanging="601"/>
      </w:pPr>
      <w:rPr>
        <w:rFonts w:hint="default"/>
      </w:rPr>
    </w:lvl>
    <w:lvl w:ilvl="2" w:tentative="0">
      <w:start w:val="0"/>
      <w:numFmt w:val="bullet"/>
      <w:lvlText w:val="•"/>
      <w:lvlJc w:val="left"/>
      <w:pPr>
        <w:ind w:left="3805" w:hanging="601"/>
      </w:pPr>
      <w:rPr>
        <w:rFonts w:hint="default"/>
      </w:rPr>
    </w:lvl>
    <w:lvl w:ilvl="3" w:tentative="0">
      <w:start w:val="0"/>
      <w:numFmt w:val="bullet"/>
      <w:lvlText w:val="•"/>
      <w:lvlJc w:val="left"/>
      <w:pPr>
        <w:ind w:left="4677" w:hanging="601"/>
      </w:pPr>
      <w:rPr>
        <w:rFonts w:hint="default"/>
      </w:rPr>
    </w:lvl>
    <w:lvl w:ilvl="4" w:tentative="0">
      <w:start w:val="0"/>
      <w:numFmt w:val="bullet"/>
      <w:lvlText w:val="•"/>
      <w:lvlJc w:val="left"/>
      <w:pPr>
        <w:ind w:left="5550" w:hanging="601"/>
      </w:pPr>
      <w:rPr>
        <w:rFonts w:hint="default"/>
      </w:rPr>
    </w:lvl>
    <w:lvl w:ilvl="5" w:tentative="0">
      <w:start w:val="0"/>
      <w:numFmt w:val="bullet"/>
      <w:lvlText w:val="•"/>
      <w:lvlJc w:val="left"/>
      <w:pPr>
        <w:ind w:left="6423" w:hanging="601"/>
      </w:pPr>
      <w:rPr>
        <w:rFonts w:hint="default"/>
      </w:rPr>
    </w:lvl>
    <w:lvl w:ilvl="6" w:tentative="0">
      <w:start w:val="0"/>
      <w:numFmt w:val="bullet"/>
      <w:lvlText w:val="•"/>
      <w:lvlJc w:val="left"/>
      <w:pPr>
        <w:ind w:left="7295" w:hanging="601"/>
      </w:pPr>
      <w:rPr>
        <w:rFonts w:hint="default"/>
      </w:rPr>
    </w:lvl>
    <w:lvl w:ilvl="7" w:tentative="0">
      <w:start w:val="0"/>
      <w:numFmt w:val="bullet"/>
      <w:lvlText w:val="•"/>
      <w:lvlJc w:val="left"/>
      <w:pPr>
        <w:ind w:left="8168" w:hanging="601"/>
      </w:pPr>
      <w:rPr>
        <w:rFonts w:hint="default"/>
      </w:rPr>
    </w:lvl>
    <w:lvl w:ilvl="8" w:tentative="0">
      <w:start w:val="0"/>
      <w:numFmt w:val="bullet"/>
      <w:lvlText w:val="•"/>
      <w:lvlJc w:val="left"/>
      <w:pPr>
        <w:ind w:left="9040" w:hanging="601"/>
      </w:pPr>
      <w:rPr>
        <w:rFonts w:hint="default"/>
      </w:rPr>
    </w:lvl>
  </w:abstractNum>
  <w:abstractNum w:abstractNumId="10">
    <w:nsid w:val="03D62ECE"/>
    <w:multiLevelType w:val="multilevel"/>
    <w:tmpl w:val="03D62ECE"/>
    <w:lvl w:ilvl="0" w:tentative="0">
      <w:start w:val="5"/>
      <w:numFmt w:val="decimal"/>
      <w:lvlText w:val="%1"/>
      <w:lvlJc w:val="left"/>
      <w:pPr>
        <w:ind w:left="826" w:hanging="425"/>
        <w:jc w:val="left"/>
      </w:pPr>
      <w:rPr>
        <w:rFonts w:hint="default"/>
      </w:rPr>
    </w:lvl>
    <w:lvl w:ilvl="1" w:tentative="0">
      <w:start w:val="4"/>
      <w:numFmt w:val="decimal"/>
      <w:lvlText w:val="%1.%2"/>
      <w:lvlJc w:val="left"/>
      <w:pPr>
        <w:ind w:left="826" w:hanging="425"/>
        <w:jc w:val="left"/>
      </w:pPr>
      <w:rPr>
        <w:rFonts w:hint="default" w:ascii="Times New Roman" w:hAnsi="Times New Roman" w:eastAsia="Times New Roman" w:cs="Times New Roman"/>
        <w:spacing w:val="-22"/>
        <w:w w:val="100"/>
        <w:sz w:val="24"/>
        <w:szCs w:val="24"/>
      </w:rPr>
    </w:lvl>
    <w:lvl w:ilvl="2" w:tentative="0">
      <w:start w:val="0"/>
      <w:numFmt w:val="bullet"/>
      <w:lvlText w:val="•"/>
      <w:lvlJc w:val="left"/>
      <w:pPr>
        <w:ind w:left="2813" w:hanging="425"/>
      </w:pPr>
      <w:rPr>
        <w:rFonts w:hint="default"/>
      </w:rPr>
    </w:lvl>
    <w:lvl w:ilvl="3" w:tentative="0">
      <w:start w:val="0"/>
      <w:numFmt w:val="bullet"/>
      <w:lvlText w:val="•"/>
      <w:lvlJc w:val="left"/>
      <w:pPr>
        <w:ind w:left="3809" w:hanging="425"/>
      </w:pPr>
      <w:rPr>
        <w:rFonts w:hint="default"/>
      </w:rPr>
    </w:lvl>
    <w:lvl w:ilvl="4" w:tentative="0">
      <w:start w:val="0"/>
      <w:numFmt w:val="bullet"/>
      <w:lvlText w:val="•"/>
      <w:lvlJc w:val="left"/>
      <w:pPr>
        <w:ind w:left="4806" w:hanging="425"/>
      </w:pPr>
      <w:rPr>
        <w:rFonts w:hint="default"/>
      </w:rPr>
    </w:lvl>
    <w:lvl w:ilvl="5" w:tentative="0">
      <w:start w:val="0"/>
      <w:numFmt w:val="bullet"/>
      <w:lvlText w:val="•"/>
      <w:lvlJc w:val="left"/>
      <w:pPr>
        <w:ind w:left="5803" w:hanging="425"/>
      </w:pPr>
      <w:rPr>
        <w:rFonts w:hint="default"/>
      </w:rPr>
    </w:lvl>
    <w:lvl w:ilvl="6" w:tentative="0">
      <w:start w:val="0"/>
      <w:numFmt w:val="bullet"/>
      <w:lvlText w:val="•"/>
      <w:lvlJc w:val="left"/>
      <w:pPr>
        <w:ind w:left="6799" w:hanging="425"/>
      </w:pPr>
      <w:rPr>
        <w:rFonts w:hint="default"/>
      </w:rPr>
    </w:lvl>
    <w:lvl w:ilvl="7" w:tentative="0">
      <w:start w:val="0"/>
      <w:numFmt w:val="bullet"/>
      <w:lvlText w:val="•"/>
      <w:lvlJc w:val="left"/>
      <w:pPr>
        <w:ind w:left="7796" w:hanging="425"/>
      </w:pPr>
      <w:rPr>
        <w:rFonts w:hint="default"/>
      </w:rPr>
    </w:lvl>
    <w:lvl w:ilvl="8" w:tentative="0">
      <w:start w:val="0"/>
      <w:numFmt w:val="bullet"/>
      <w:lvlText w:val="•"/>
      <w:lvlJc w:val="left"/>
      <w:pPr>
        <w:ind w:left="8792" w:hanging="425"/>
      </w:pPr>
      <w:rPr>
        <w:rFonts w:hint="default"/>
      </w:rPr>
    </w:lvl>
  </w:abstractNum>
  <w:abstractNum w:abstractNumId="11">
    <w:nsid w:val="2470EC97"/>
    <w:multiLevelType w:val="multilevel"/>
    <w:tmpl w:val="2470EC97"/>
    <w:lvl w:ilvl="0" w:tentative="0">
      <w:start w:val="1"/>
      <w:numFmt w:val="decimal"/>
      <w:lvlText w:val="（%1）"/>
      <w:lvlJc w:val="left"/>
      <w:pPr>
        <w:ind w:left="1907" w:hanging="601"/>
        <w:jc w:val="left"/>
      </w:pPr>
      <w:rPr>
        <w:rFonts w:hint="default" w:ascii="宋体" w:hAnsi="宋体" w:eastAsia="宋体" w:cs="宋体"/>
        <w:w w:val="100"/>
        <w:sz w:val="22"/>
        <w:szCs w:val="22"/>
      </w:rPr>
    </w:lvl>
    <w:lvl w:ilvl="1" w:tentative="0">
      <w:start w:val="0"/>
      <w:numFmt w:val="bullet"/>
      <w:lvlText w:val="•"/>
      <w:lvlJc w:val="left"/>
      <w:pPr>
        <w:ind w:left="2788" w:hanging="601"/>
      </w:pPr>
      <w:rPr>
        <w:rFonts w:hint="default"/>
      </w:rPr>
    </w:lvl>
    <w:lvl w:ilvl="2" w:tentative="0">
      <w:start w:val="0"/>
      <w:numFmt w:val="bullet"/>
      <w:lvlText w:val="•"/>
      <w:lvlJc w:val="left"/>
      <w:pPr>
        <w:ind w:left="3677" w:hanging="601"/>
      </w:pPr>
      <w:rPr>
        <w:rFonts w:hint="default"/>
      </w:rPr>
    </w:lvl>
    <w:lvl w:ilvl="3" w:tentative="0">
      <w:start w:val="0"/>
      <w:numFmt w:val="bullet"/>
      <w:lvlText w:val="•"/>
      <w:lvlJc w:val="left"/>
      <w:pPr>
        <w:ind w:left="4565" w:hanging="601"/>
      </w:pPr>
      <w:rPr>
        <w:rFonts w:hint="default"/>
      </w:rPr>
    </w:lvl>
    <w:lvl w:ilvl="4" w:tentative="0">
      <w:start w:val="0"/>
      <w:numFmt w:val="bullet"/>
      <w:lvlText w:val="•"/>
      <w:lvlJc w:val="left"/>
      <w:pPr>
        <w:ind w:left="5454" w:hanging="601"/>
      </w:pPr>
      <w:rPr>
        <w:rFonts w:hint="default"/>
      </w:rPr>
    </w:lvl>
    <w:lvl w:ilvl="5" w:tentative="0">
      <w:start w:val="0"/>
      <w:numFmt w:val="bullet"/>
      <w:lvlText w:val="•"/>
      <w:lvlJc w:val="left"/>
      <w:pPr>
        <w:ind w:left="6343" w:hanging="601"/>
      </w:pPr>
      <w:rPr>
        <w:rFonts w:hint="default"/>
      </w:rPr>
    </w:lvl>
    <w:lvl w:ilvl="6" w:tentative="0">
      <w:start w:val="0"/>
      <w:numFmt w:val="bullet"/>
      <w:lvlText w:val="•"/>
      <w:lvlJc w:val="left"/>
      <w:pPr>
        <w:ind w:left="7231" w:hanging="601"/>
      </w:pPr>
      <w:rPr>
        <w:rFonts w:hint="default"/>
      </w:rPr>
    </w:lvl>
    <w:lvl w:ilvl="7" w:tentative="0">
      <w:start w:val="0"/>
      <w:numFmt w:val="bullet"/>
      <w:lvlText w:val="•"/>
      <w:lvlJc w:val="left"/>
      <w:pPr>
        <w:ind w:left="8120" w:hanging="601"/>
      </w:pPr>
      <w:rPr>
        <w:rFonts w:hint="default"/>
      </w:rPr>
    </w:lvl>
    <w:lvl w:ilvl="8" w:tentative="0">
      <w:start w:val="0"/>
      <w:numFmt w:val="bullet"/>
      <w:lvlText w:val="•"/>
      <w:lvlJc w:val="left"/>
      <w:pPr>
        <w:ind w:left="9008" w:hanging="601"/>
      </w:pPr>
      <w:rPr>
        <w:rFonts w:hint="default"/>
      </w:rPr>
    </w:lvl>
  </w:abstractNum>
  <w:abstractNum w:abstractNumId="12">
    <w:nsid w:val="25B654F3"/>
    <w:multiLevelType w:val="multilevel"/>
    <w:tmpl w:val="25B654F3"/>
    <w:lvl w:ilvl="0" w:tentative="0">
      <w:start w:val="6"/>
      <w:numFmt w:val="decimal"/>
      <w:lvlText w:val="%1."/>
      <w:lvlJc w:val="left"/>
      <w:pPr>
        <w:ind w:left="1126" w:hanging="300"/>
        <w:jc w:val="left"/>
      </w:pPr>
      <w:rPr>
        <w:rFonts w:hint="default"/>
        <w:b/>
        <w:bCs/>
        <w:w w:val="99"/>
      </w:rPr>
    </w:lvl>
    <w:lvl w:ilvl="1" w:tentative="0">
      <w:start w:val="1"/>
      <w:numFmt w:val="decimal"/>
      <w:lvlText w:val="%1.%2"/>
      <w:lvlJc w:val="left"/>
      <w:pPr>
        <w:ind w:left="821" w:hanging="603"/>
        <w:jc w:val="left"/>
      </w:pPr>
      <w:rPr>
        <w:rFonts w:hint="default"/>
        <w:w w:val="100"/>
      </w:rPr>
    </w:lvl>
    <w:lvl w:ilvl="2" w:tentative="0">
      <w:start w:val="1"/>
      <w:numFmt w:val="decimal"/>
      <w:lvlText w:val="%1.%2.%3"/>
      <w:lvlJc w:val="left"/>
      <w:pPr>
        <w:ind w:left="826" w:hanging="603"/>
        <w:jc w:val="left"/>
      </w:pPr>
      <w:rPr>
        <w:rFonts w:hint="default"/>
        <w:w w:val="100"/>
      </w:rPr>
    </w:lvl>
    <w:lvl w:ilvl="3" w:tentative="0">
      <w:start w:val="0"/>
      <w:numFmt w:val="bullet"/>
      <w:lvlText w:val="•"/>
      <w:lvlJc w:val="left"/>
      <w:pPr>
        <w:ind w:left="1720" w:hanging="603"/>
      </w:pPr>
      <w:rPr>
        <w:rFonts w:hint="default"/>
      </w:rPr>
    </w:lvl>
    <w:lvl w:ilvl="4" w:tentative="0">
      <w:start w:val="0"/>
      <w:numFmt w:val="bullet"/>
      <w:lvlText w:val="•"/>
      <w:lvlJc w:val="left"/>
      <w:pPr>
        <w:ind w:left="1840" w:hanging="603"/>
      </w:pPr>
      <w:rPr>
        <w:rFonts w:hint="default"/>
      </w:rPr>
    </w:lvl>
    <w:lvl w:ilvl="5" w:tentative="0">
      <w:start w:val="0"/>
      <w:numFmt w:val="bullet"/>
      <w:lvlText w:val="•"/>
      <w:lvlJc w:val="left"/>
      <w:pPr>
        <w:ind w:left="1900" w:hanging="603"/>
      </w:pPr>
      <w:rPr>
        <w:rFonts w:hint="default"/>
      </w:rPr>
    </w:lvl>
    <w:lvl w:ilvl="6" w:tentative="0">
      <w:start w:val="0"/>
      <w:numFmt w:val="bullet"/>
      <w:lvlText w:val="•"/>
      <w:lvlJc w:val="left"/>
      <w:pPr>
        <w:ind w:left="2100" w:hanging="603"/>
      </w:pPr>
      <w:rPr>
        <w:rFonts w:hint="default"/>
      </w:rPr>
    </w:lvl>
    <w:lvl w:ilvl="7" w:tentative="0">
      <w:start w:val="0"/>
      <w:numFmt w:val="bullet"/>
      <w:lvlText w:val="•"/>
      <w:lvlJc w:val="left"/>
      <w:pPr>
        <w:ind w:left="4271" w:hanging="603"/>
      </w:pPr>
      <w:rPr>
        <w:rFonts w:hint="default"/>
      </w:rPr>
    </w:lvl>
    <w:lvl w:ilvl="8" w:tentative="0">
      <w:start w:val="0"/>
      <w:numFmt w:val="bullet"/>
      <w:lvlText w:val="•"/>
      <w:lvlJc w:val="left"/>
      <w:pPr>
        <w:ind w:left="6443" w:hanging="603"/>
      </w:pPr>
      <w:rPr>
        <w:rFonts w:hint="default"/>
      </w:rPr>
    </w:lvl>
  </w:abstractNum>
  <w:abstractNum w:abstractNumId="13">
    <w:nsid w:val="2A8F537B"/>
    <w:multiLevelType w:val="multilevel"/>
    <w:tmpl w:val="2A8F537B"/>
    <w:lvl w:ilvl="0" w:tentative="0">
      <w:start w:val="2"/>
      <w:numFmt w:val="decimal"/>
      <w:lvlText w:val="%1"/>
      <w:lvlJc w:val="left"/>
      <w:pPr>
        <w:ind w:left="1784" w:hanging="480"/>
        <w:jc w:val="left"/>
      </w:pPr>
      <w:rPr>
        <w:rFonts w:hint="default"/>
      </w:rPr>
    </w:lvl>
    <w:lvl w:ilvl="1" w:tentative="0">
      <w:start w:val="1"/>
      <w:numFmt w:val="decimal"/>
      <w:lvlText w:val="%1.%2"/>
      <w:lvlJc w:val="left"/>
      <w:pPr>
        <w:ind w:left="1784" w:hanging="480"/>
        <w:jc w:val="left"/>
      </w:pPr>
      <w:rPr>
        <w:rFonts w:hint="default" w:ascii="宋体" w:hAnsi="宋体" w:eastAsia="宋体" w:cs="宋体"/>
        <w:w w:val="100"/>
        <w:sz w:val="24"/>
        <w:szCs w:val="24"/>
      </w:rPr>
    </w:lvl>
    <w:lvl w:ilvl="2" w:tentative="0">
      <w:start w:val="0"/>
      <w:numFmt w:val="bullet"/>
      <w:lvlText w:val="•"/>
      <w:lvlJc w:val="left"/>
      <w:pPr>
        <w:ind w:left="3581" w:hanging="480"/>
      </w:pPr>
      <w:rPr>
        <w:rFonts w:hint="default"/>
      </w:rPr>
    </w:lvl>
    <w:lvl w:ilvl="3" w:tentative="0">
      <w:start w:val="0"/>
      <w:numFmt w:val="bullet"/>
      <w:lvlText w:val="•"/>
      <w:lvlJc w:val="left"/>
      <w:pPr>
        <w:ind w:left="4481" w:hanging="480"/>
      </w:pPr>
      <w:rPr>
        <w:rFonts w:hint="default"/>
      </w:rPr>
    </w:lvl>
    <w:lvl w:ilvl="4" w:tentative="0">
      <w:start w:val="0"/>
      <w:numFmt w:val="bullet"/>
      <w:lvlText w:val="•"/>
      <w:lvlJc w:val="left"/>
      <w:pPr>
        <w:ind w:left="5382" w:hanging="480"/>
      </w:pPr>
      <w:rPr>
        <w:rFonts w:hint="default"/>
      </w:rPr>
    </w:lvl>
    <w:lvl w:ilvl="5" w:tentative="0">
      <w:start w:val="0"/>
      <w:numFmt w:val="bullet"/>
      <w:lvlText w:val="•"/>
      <w:lvlJc w:val="left"/>
      <w:pPr>
        <w:ind w:left="6283" w:hanging="480"/>
      </w:pPr>
      <w:rPr>
        <w:rFonts w:hint="default"/>
      </w:rPr>
    </w:lvl>
    <w:lvl w:ilvl="6" w:tentative="0">
      <w:start w:val="0"/>
      <w:numFmt w:val="bullet"/>
      <w:lvlText w:val="•"/>
      <w:lvlJc w:val="left"/>
      <w:pPr>
        <w:ind w:left="7183" w:hanging="480"/>
      </w:pPr>
      <w:rPr>
        <w:rFonts w:hint="default"/>
      </w:rPr>
    </w:lvl>
    <w:lvl w:ilvl="7" w:tentative="0">
      <w:start w:val="0"/>
      <w:numFmt w:val="bullet"/>
      <w:lvlText w:val="•"/>
      <w:lvlJc w:val="left"/>
      <w:pPr>
        <w:ind w:left="8084" w:hanging="480"/>
      </w:pPr>
      <w:rPr>
        <w:rFonts w:hint="default"/>
      </w:rPr>
    </w:lvl>
    <w:lvl w:ilvl="8" w:tentative="0">
      <w:start w:val="0"/>
      <w:numFmt w:val="bullet"/>
      <w:lvlText w:val="•"/>
      <w:lvlJc w:val="left"/>
      <w:pPr>
        <w:ind w:left="8984" w:hanging="480"/>
      </w:pPr>
      <w:rPr>
        <w:rFonts w:hint="default"/>
      </w:rPr>
    </w:lvl>
  </w:abstractNum>
  <w:abstractNum w:abstractNumId="14">
    <w:nsid w:val="4C1BAE26"/>
    <w:multiLevelType w:val="multilevel"/>
    <w:tmpl w:val="4C1BAE26"/>
    <w:lvl w:ilvl="0" w:tentative="0">
      <w:start w:val="3"/>
      <w:numFmt w:val="decimal"/>
      <w:lvlText w:val="%1"/>
      <w:lvlJc w:val="left"/>
      <w:pPr>
        <w:ind w:left="1726" w:hanging="420"/>
        <w:jc w:val="left"/>
      </w:pPr>
      <w:rPr>
        <w:rFonts w:hint="default"/>
      </w:rPr>
    </w:lvl>
    <w:lvl w:ilvl="1" w:tentative="0">
      <w:start w:val="1"/>
      <w:numFmt w:val="decimal"/>
      <w:lvlText w:val="%1.%2"/>
      <w:lvlJc w:val="left"/>
      <w:pPr>
        <w:ind w:left="1726" w:hanging="420"/>
        <w:jc w:val="left"/>
      </w:pPr>
      <w:rPr>
        <w:rFonts w:hint="default" w:ascii="宋体" w:hAnsi="宋体" w:eastAsia="宋体" w:cs="宋体"/>
        <w:w w:val="100"/>
        <w:sz w:val="24"/>
        <w:szCs w:val="24"/>
      </w:rPr>
    </w:lvl>
    <w:lvl w:ilvl="2" w:tentative="0">
      <w:start w:val="0"/>
      <w:numFmt w:val="bullet"/>
      <w:lvlText w:val="•"/>
      <w:lvlJc w:val="left"/>
      <w:pPr>
        <w:ind w:left="3533" w:hanging="420"/>
      </w:pPr>
      <w:rPr>
        <w:rFonts w:hint="default"/>
      </w:rPr>
    </w:lvl>
    <w:lvl w:ilvl="3" w:tentative="0">
      <w:start w:val="0"/>
      <w:numFmt w:val="bullet"/>
      <w:lvlText w:val="•"/>
      <w:lvlJc w:val="left"/>
      <w:pPr>
        <w:ind w:left="4439" w:hanging="420"/>
      </w:pPr>
      <w:rPr>
        <w:rFonts w:hint="default"/>
      </w:rPr>
    </w:lvl>
    <w:lvl w:ilvl="4" w:tentative="0">
      <w:start w:val="0"/>
      <w:numFmt w:val="bullet"/>
      <w:lvlText w:val="•"/>
      <w:lvlJc w:val="left"/>
      <w:pPr>
        <w:ind w:left="5346" w:hanging="420"/>
      </w:pPr>
      <w:rPr>
        <w:rFonts w:hint="default"/>
      </w:rPr>
    </w:lvl>
    <w:lvl w:ilvl="5" w:tentative="0">
      <w:start w:val="0"/>
      <w:numFmt w:val="bullet"/>
      <w:lvlText w:val="•"/>
      <w:lvlJc w:val="left"/>
      <w:pPr>
        <w:ind w:left="6253" w:hanging="420"/>
      </w:pPr>
      <w:rPr>
        <w:rFonts w:hint="default"/>
      </w:rPr>
    </w:lvl>
    <w:lvl w:ilvl="6" w:tentative="0">
      <w:start w:val="0"/>
      <w:numFmt w:val="bullet"/>
      <w:lvlText w:val="•"/>
      <w:lvlJc w:val="left"/>
      <w:pPr>
        <w:ind w:left="7159" w:hanging="420"/>
      </w:pPr>
      <w:rPr>
        <w:rFonts w:hint="default"/>
      </w:rPr>
    </w:lvl>
    <w:lvl w:ilvl="7" w:tentative="0">
      <w:start w:val="0"/>
      <w:numFmt w:val="bullet"/>
      <w:lvlText w:val="•"/>
      <w:lvlJc w:val="left"/>
      <w:pPr>
        <w:ind w:left="8066" w:hanging="420"/>
      </w:pPr>
      <w:rPr>
        <w:rFonts w:hint="default"/>
      </w:rPr>
    </w:lvl>
    <w:lvl w:ilvl="8" w:tentative="0">
      <w:start w:val="0"/>
      <w:numFmt w:val="bullet"/>
      <w:lvlText w:val="•"/>
      <w:lvlJc w:val="left"/>
      <w:pPr>
        <w:ind w:left="8972" w:hanging="420"/>
      </w:pPr>
      <w:rPr>
        <w:rFonts w:hint="default"/>
      </w:rPr>
    </w:lvl>
  </w:abstractNum>
  <w:abstractNum w:abstractNumId="15">
    <w:nsid w:val="4D4DC07F"/>
    <w:multiLevelType w:val="multilevel"/>
    <w:tmpl w:val="4D4DC07F"/>
    <w:lvl w:ilvl="0" w:tentative="0">
      <w:start w:val="3"/>
      <w:numFmt w:val="decimal"/>
      <w:lvlText w:val="%1"/>
      <w:lvlJc w:val="left"/>
      <w:pPr>
        <w:ind w:left="2206" w:hanging="900"/>
        <w:jc w:val="left"/>
      </w:pPr>
      <w:rPr>
        <w:rFonts w:hint="default"/>
      </w:rPr>
    </w:lvl>
    <w:lvl w:ilvl="1" w:tentative="0">
      <w:start w:val="5"/>
      <w:numFmt w:val="decimal"/>
      <w:lvlText w:val="%1.%2"/>
      <w:lvlJc w:val="left"/>
      <w:pPr>
        <w:ind w:left="2206" w:hanging="900"/>
        <w:jc w:val="left"/>
      </w:pPr>
      <w:rPr>
        <w:rFonts w:hint="default"/>
      </w:rPr>
    </w:lvl>
    <w:lvl w:ilvl="2" w:tentative="0">
      <w:start w:val="2"/>
      <w:numFmt w:val="decimal"/>
      <w:lvlText w:val="%1.%2.%3"/>
      <w:lvlJc w:val="left"/>
      <w:pPr>
        <w:ind w:left="2206" w:hanging="900"/>
        <w:jc w:val="left"/>
      </w:pPr>
      <w:rPr>
        <w:rFonts w:hint="default"/>
      </w:rPr>
    </w:lvl>
    <w:lvl w:ilvl="3" w:tentative="0">
      <w:start w:val="1"/>
      <w:numFmt w:val="decimal"/>
      <w:lvlText w:val="%1.%2.%3.%4"/>
      <w:lvlJc w:val="left"/>
      <w:pPr>
        <w:ind w:left="2206" w:hanging="900"/>
        <w:jc w:val="left"/>
      </w:pPr>
      <w:rPr>
        <w:rFonts w:hint="default" w:ascii="宋体" w:hAnsi="宋体" w:eastAsia="宋体" w:cs="宋体"/>
        <w:w w:val="100"/>
        <w:sz w:val="24"/>
        <w:szCs w:val="24"/>
      </w:rPr>
    </w:lvl>
    <w:lvl w:ilvl="4" w:tentative="0">
      <w:start w:val="0"/>
      <w:numFmt w:val="bullet"/>
      <w:lvlText w:val="•"/>
      <w:lvlJc w:val="left"/>
      <w:pPr>
        <w:ind w:left="5634" w:hanging="900"/>
      </w:pPr>
      <w:rPr>
        <w:rFonts w:hint="default"/>
      </w:rPr>
    </w:lvl>
    <w:lvl w:ilvl="5" w:tentative="0">
      <w:start w:val="0"/>
      <w:numFmt w:val="bullet"/>
      <w:lvlText w:val="•"/>
      <w:lvlJc w:val="left"/>
      <w:pPr>
        <w:ind w:left="6493" w:hanging="900"/>
      </w:pPr>
      <w:rPr>
        <w:rFonts w:hint="default"/>
      </w:rPr>
    </w:lvl>
    <w:lvl w:ilvl="6" w:tentative="0">
      <w:start w:val="0"/>
      <w:numFmt w:val="bullet"/>
      <w:lvlText w:val="•"/>
      <w:lvlJc w:val="left"/>
      <w:pPr>
        <w:ind w:left="7351" w:hanging="900"/>
      </w:pPr>
      <w:rPr>
        <w:rFonts w:hint="default"/>
      </w:rPr>
    </w:lvl>
    <w:lvl w:ilvl="7" w:tentative="0">
      <w:start w:val="0"/>
      <w:numFmt w:val="bullet"/>
      <w:lvlText w:val="•"/>
      <w:lvlJc w:val="left"/>
      <w:pPr>
        <w:ind w:left="8210" w:hanging="900"/>
      </w:pPr>
      <w:rPr>
        <w:rFonts w:hint="default"/>
      </w:rPr>
    </w:lvl>
    <w:lvl w:ilvl="8" w:tentative="0">
      <w:start w:val="0"/>
      <w:numFmt w:val="bullet"/>
      <w:lvlText w:val="•"/>
      <w:lvlJc w:val="left"/>
      <w:pPr>
        <w:ind w:left="9068" w:hanging="900"/>
      </w:pPr>
      <w:rPr>
        <w:rFonts w:hint="default"/>
      </w:rPr>
    </w:lvl>
  </w:abstractNum>
  <w:abstractNum w:abstractNumId="16">
    <w:nsid w:val="59ADCABA"/>
    <w:multiLevelType w:val="multilevel"/>
    <w:tmpl w:val="59ADCABA"/>
    <w:lvl w:ilvl="0" w:tentative="0">
      <w:start w:val="5"/>
      <w:numFmt w:val="decimal"/>
      <w:lvlText w:val="%1"/>
      <w:lvlJc w:val="left"/>
      <w:pPr>
        <w:ind w:left="826" w:hanging="420"/>
        <w:jc w:val="left"/>
      </w:pPr>
      <w:rPr>
        <w:rFonts w:hint="default"/>
      </w:rPr>
    </w:lvl>
    <w:lvl w:ilvl="1" w:tentative="0">
      <w:start w:val="1"/>
      <w:numFmt w:val="decimal"/>
      <w:lvlText w:val="%1.%2"/>
      <w:lvlJc w:val="left"/>
      <w:pPr>
        <w:ind w:left="826" w:hanging="420"/>
        <w:jc w:val="left"/>
      </w:pPr>
      <w:rPr>
        <w:rFonts w:hint="default"/>
        <w:w w:val="100"/>
      </w:rPr>
    </w:lvl>
    <w:lvl w:ilvl="2" w:tentative="0">
      <w:start w:val="0"/>
      <w:numFmt w:val="bullet"/>
      <w:lvlText w:val="•"/>
      <w:lvlJc w:val="left"/>
      <w:pPr>
        <w:ind w:left="2813" w:hanging="420"/>
      </w:pPr>
      <w:rPr>
        <w:rFonts w:hint="default"/>
      </w:rPr>
    </w:lvl>
    <w:lvl w:ilvl="3" w:tentative="0">
      <w:start w:val="0"/>
      <w:numFmt w:val="bullet"/>
      <w:lvlText w:val="•"/>
      <w:lvlJc w:val="left"/>
      <w:pPr>
        <w:ind w:left="3809" w:hanging="420"/>
      </w:pPr>
      <w:rPr>
        <w:rFonts w:hint="default"/>
      </w:rPr>
    </w:lvl>
    <w:lvl w:ilvl="4" w:tentative="0">
      <w:start w:val="0"/>
      <w:numFmt w:val="bullet"/>
      <w:lvlText w:val="•"/>
      <w:lvlJc w:val="left"/>
      <w:pPr>
        <w:ind w:left="4806" w:hanging="420"/>
      </w:pPr>
      <w:rPr>
        <w:rFonts w:hint="default"/>
      </w:rPr>
    </w:lvl>
    <w:lvl w:ilvl="5" w:tentative="0">
      <w:start w:val="0"/>
      <w:numFmt w:val="bullet"/>
      <w:lvlText w:val="•"/>
      <w:lvlJc w:val="left"/>
      <w:pPr>
        <w:ind w:left="5803" w:hanging="420"/>
      </w:pPr>
      <w:rPr>
        <w:rFonts w:hint="default"/>
      </w:rPr>
    </w:lvl>
    <w:lvl w:ilvl="6" w:tentative="0">
      <w:start w:val="0"/>
      <w:numFmt w:val="bullet"/>
      <w:lvlText w:val="•"/>
      <w:lvlJc w:val="left"/>
      <w:pPr>
        <w:ind w:left="6799" w:hanging="420"/>
      </w:pPr>
      <w:rPr>
        <w:rFonts w:hint="default"/>
      </w:rPr>
    </w:lvl>
    <w:lvl w:ilvl="7" w:tentative="0">
      <w:start w:val="0"/>
      <w:numFmt w:val="bullet"/>
      <w:lvlText w:val="•"/>
      <w:lvlJc w:val="left"/>
      <w:pPr>
        <w:ind w:left="7796" w:hanging="420"/>
      </w:pPr>
      <w:rPr>
        <w:rFonts w:hint="default"/>
      </w:rPr>
    </w:lvl>
    <w:lvl w:ilvl="8" w:tentative="0">
      <w:start w:val="0"/>
      <w:numFmt w:val="bullet"/>
      <w:lvlText w:val="•"/>
      <w:lvlJc w:val="left"/>
      <w:pPr>
        <w:ind w:left="8792" w:hanging="420"/>
      </w:pPr>
      <w:rPr>
        <w:rFonts w:hint="default"/>
      </w:rPr>
    </w:lvl>
  </w:abstractNum>
  <w:abstractNum w:abstractNumId="17">
    <w:nsid w:val="5A241D34"/>
    <w:multiLevelType w:val="multilevel"/>
    <w:tmpl w:val="5A241D34"/>
    <w:lvl w:ilvl="0" w:tentative="0">
      <w:start w:val="3"/>
      <w:numFmt w:val="decimal"/>
      <w:lvlText w:val="%1"/>
      <w:lvlJc w:val="left"/>
      <w:pPr>
        <w:ind w:left="1726" w:hanging="420"/>
        <w:jc w:val="left"/>
      </w:pPr>
      <w:rPr>
        <w:rFonts w:hint="default"/>
      </w:rPr>
    </w:lvl>
    <w:lvl w:ilvl="1" w:tentative="0">
      <w:start w:val="1"/>
      <w:numFmt w:val="decimal"/>
      <w:lvlText w:val="%1.%2"/>
      <w:lvlJc w:val="left"/>
      <w:pPr>
        <w:ind w:left="1726" w:hanging="420"/>
        <w:jc w:val="left"/>
      </w:pPr>
      <w:rPr>
        <w:rFonts w:hint="default"/>
        <w:w w:val="100"/>
      </w:rPr>
    </w:lvl>
    <w:lvl w:ilvl="2" w:tentative="0">
      <w:start w:val="1"/>
      <w:numFmt w:val="decimal"/>
      <w:lvlText w:val="%1.%2.%3"/>
      <w:lvlJc w:val="left"/>
      <w:pPr>
        <w:ind w:left="826" w:hanging="660"/>
        <w:jc w:val="left"/>
      </w:pPr>
      <w:rPr>
        <w:rFonts w:hint="default"/>
        <w:w w:val="100"/>
      </w:rPr>
    </w:lvl>
    <w:lvl w:ilvl="3" w:tentative="0">
      <w:start w:val="2"/>
      <w:numFmt w:val="decimal"/>
      <w:lvlText w:val="%1.%2.%3.%4"/>
      <w:lvlJc w:val="left"/>
      <w:pPr>
        <w:ind w:left="2208" w:hanging="660"/>
        <w:jc w:val="left"/>
      </w:pPr>
      <w:rPr>
        <w:rFonts w:hint="default"/>
        <w:b/>
        <w:bCs/>
        <w:spacing w:val="0"/>
        <w:w w:val="99"/>
        <w:u w:val="single" w:color="000000"/>
      </w:rPr>
    </w:lvl>
    <w:lvl w:ilvl="4" w:tentative="0">
      <w:start w:val="0"/>
      <w:numFmt w:val="bullet"/>
      <w:lvlText w:val="•"/>
      <w:lvlJc w:val="left"/>
      <w:pPr>
        <w:ind w:left="2200" w:hanging="660"/>
      </w:pPr>
      <w:rPr>
        <w:rFonts w:hint="default"/>
      </w:rPr>
    </w:lvl>
    <w:lvl w:ilvl="5" w:tentative="0">
      <w:start w:val="0"/>
      <w:numFmt w:val="bullet"/>
      <w:lvlText w:val="•"/>
      <w:lvlJc w:val="left"/>
      <w:pPr>
        <w:ind w:left="3631" w:hanging="660"/>
      </w:pPr>
      <w:rPr>
        <w:rFonts w:hint="default"/>
      </w:rPr>
    </w:lvl>
    <w:lvl w:ilvl="6" w:tentative="0">
      <w:start w:val="0"/>
      <w:numFmt w:val="bullet"/>
      <w:lvlText w:val="•"/>
      <w:lvlJc w:val="left"/>
      <w:pPr>
        <w:ind w:left="5062" w:hanging="660"/>
      </w:pPr>
      <w:rPr>
        <w:rFonts w:hint="default"/>
      </w:rPr>
    </w:lvl>
    <w:lvl w:ilvl="7" w:tentative="0">
      <w:start w:val="0"/>
      <w:numFmt w:val="bullet"/>
      <w:lvlText w:val="•"/>
      <w:lvlJc w:val="left"/>
      <w:pPr>
        <w:ind w:left="6493" w:hanging="660"/>
      </w:pPr>
      <w:rPr>
        <w:rFonts w:hint="default"/>
      </w:rPr>
    </w:lvl>
    <w:lvl w:ilvl="8" w:tentative="0">
      <w:start w:val="0"/>
      <w:numFmt w:val="bullet"/>
      <w:lvlText w:val="•"/>
      <w:lvlJc w:val="left"/>
      <w:pPr>
        <w:ind w:left="7924" w:hanging="660"/>
      </w:pPr>
      <w:rPr>
        <w:rFonts w:hint="default"/>
      </w:rPr>
    </w:lvl>
  </w:abstractNum>
  <w:abstractNum w:abstractNumId="18">
    <w:nsid w:val="60382F6E"/>
    <w:multiLevelType w:val="multilevel"/>
    <w:tmpl w:val="60382F6E"/>
    <w:lvl w:ilvl="0" w:tentative="0">
      <w:start w:val="1"/>
      <w:numFmt w:val="decimal"/>
      <w:lvlText w:val="(%1)"/>
      <w:lvlJc w:val="left"/>
      <w:pPr>
        <w:ind w:left="826" w:hanging="363"/>
        <w:jc w:val="left"/>
      </w:pPr>
      <w:rPr>
        <w:rFonts w:hint="default" w:ascii="宋体" w:hAnsi="宋体" w:eastAsia="宋体" w:cs="宋体"/>
        <w:w w:val="100"/>
        <w:sz w:val="22"/>
        <w:szCs w:val="22"/>
      </w:rPr>
    </w:lvl>
    <w:lvl w:ilvl="1" w:tentative="0">
      <w:start w:val="0"/>
      <w:numFmt w:val="bullet"/>
      <w:lvlText w:val="•"/>
      <w:lvlJc w:val="left"/>
      <w:pPr>
        <w:ind w:left="1816" w:hanging="363"/>
      </w:pPr>
      <w:rPr>
        <w:rFonts w:hint="default"/>
      </w:rPr>
    </w:lvl>
    <w:lvl w:ilvl="2" w:tentative="0">
      <w:start w:val="0"/>
      <w:numFmt w:val="bullet"/>
      <w:lvlText w:val="•"/>
      <w:lvlJc w:val="left"/>
      <w:pPr>
        <w:ind w:left="2813" w:hanging="363"/>
      </w:pPr>
      <w:rPr>
        <w:rFonts w:hint="default"/>
      </w:rPr>
    </w:lvl>
    <w:lvl w:ilvl="3" w:tentative="0">
      <w:start w:val="0"/>
      <w:numFmt w:val="bullet"/>
      <w:lvlText w:val="•"/>
      <w:lvlJc w:val="left"/>
      <w:pPr>
        <w:ind w:left="3809" w:hanging="363"/>
      </w:pPr>
      <w:rPr>
        <w:rFonts w:hint="default"/>
      </w:rPr>
    </w:lvl>
    <w:lvl w:ilvl="4" w:tentative="0">
      <w:start w:val="0"/>
      <w:numFmt w:val="bullet"/>
      <w:lvlText w:val="•"/>
      <w:lvlJc w:val="left"/>
      <w:pPr>
        <w:ind w:left="4806" w:hanging="363"/>
      </w:pPr>
      <w:rPr>
        <w:rFonts w:hint="default"/>
      </w:rPr>
    </w:lvl>
    <w:lvl w:ilvl="5" w:tentative="0">
      <w:start w:val="0"/>
      <w:numFmt w:val="bullet"/>
      <w:lvlText w:val="•"/>
      <w:lvlJc w:val="left"/>
      <w:pPr>
        <w:ind w:left="5803" w:hanging="363"/>
      </w:pPr>
      <w:rPr>
        <w:rFonts w:hint="default"/>
      </w:rPr>
    </w:lvl>
    <w:lvl w:ilvl="6" w:tentative="0">
      <w:start w:val="0"/>
      <w:numFmt w:val="bullet"/>
      <w:lvlText w:val="•"/>
      <w:lvlJc w:val="left"/>
      <w:pPr>
        <w:ind w:left="6799" w:hanging="363"/>
      </w:pPr>
      <w:rPr>
        <w:rFonts w:hint="default"/>
      </w:rPr>
    </w:lvl>
    <w:lvl w:ilvl="7" w:tentative="0">
      <w:start w:val="0"/>
      <w:numFmt w:val="bullet"/>
      <w:lvlText w:val="•"/>
      <w:lvlJc w:val="left"/>
      <w:pPr>
        <w:ind w:left="7796" w:hanging="363"/>
      </w:pPr>
      <w:rPr>
        <w:rFonts w:hint="default"/>
      </w:rPr>
    </w:lvl>
    <w:lvl w:ilvl="8" w:tentative="0">
      <w:start w:val="0"/>
      <w:numFmt w:val="bullet"/>
      <w:lvlText w:val="•"/>
      <w:lvlJc w:val="left"/>
      <w:pPr>
        <w:ind w:left="8792" w:hanging="363"/>
      </w:pPr>
      <w:rPr>
        <w:rFonts w:hint="default"/>
      </w:rPr>
    </w:lvl>
  </w:abstractNum>
  <w:abstractNum w:abstractNumId="19">
    <w:nsid w:val="72183CF9"/>
    <w:multiLevelType w:val="multilevel"/>
    <w:tmpl w:val="72183CF9"/>
    <w:lvl w:ilvl="0" w:tentative="0">
      <w:start w:val="13"/>
      <w:numFmt w:val="decimal"/>
      <w:lvlText w:val="%1"/>
      <w:lvlJc w:val="left"/>
      <w:pPr>
        <w:ind w:left="1846" w:hanging="540"/>
        <w:jc w:val="left"/>
      </w:pPr>
      <w:rPr>
        <w:rFonts w:hint="default"/>
      </w:rPr>
    </w:lvl>
    <w:lvl w:ilvl="1" w:tentative="0">
      <w:start w:val="3"/>
      <w:numFmt w:val="decimal"/>
      <w:lvlText w:val="%1.%2"/>
      <w:lvlJc w:val="left"/>
      <w:pPr>
        <w:ind w:left="1846" w:hanging="540"/>
        <w:jc w:val="left"/>
      </w:pPr>
      <w:rPr>
        <w:rFonts w:hint="default" w:ascii="Times New Roman" w:hAnsi="Times New Roman" w:eastAsia="Times New Roman" w:cs="Times New Roman"/>
        <w:w w:val="99"/>
        <w:sz w:val="24"/>
        <w:szCs w:val="24"/>
      </w:rPr>
    </w:lvl>
    <w:lvl w:ilvl="2" w:tentative="0">
      <w:start w:val="6"/>
      <w:numFmt w:val="decimal"/>
      <w:lvlText w:val="%1.%2.%3"/>
      <w:lvlJc w:val="left"/>
      <w:pPr>
        <w:ind w:left="1907" w:hanging="601"/>
        <w:jc w:val="left"/>
      </w:pPr>
      <w:rPr>
        <w:rFonts w:hint="default" w:ascii="Times New Roman" w:hAnsi="Times New Roman" w:eastAsia="Times New Roman" w:cs="Times New Roman"/>
        <w:w w:val="100"/>
        <w:sz w:val="22"/>
        <w:szCs w:val="22"/>
        <w:u w:val="single" w:color="000000"/>
      </w:rPr>
    </w:lvl>
    <w:lvl w:ilvl="3" w:tentative="0">
      <w:start w:val="0"/>
      <w:numFmt w:val="bullet"/>
      <w:lvlText w:val="•"/>
      <w:lvlJc w:val="left"/>
      <w:pPr>
        <w:ind w:left="3874" w:hanging="601"/>
      </w:pPr>
      <w:rPr>
        <w:rFonts w:hint="default"/>
      </w:rPr>
    </w:lvl>
    <w:lvl w:ilvl="4" w:tentative="0">
      <w:start w:val="0"/>
      <w:numFmt w:val="bullet"/>
      <w:lvlText w:val="•"/>
      <w:lvlJc w:val="left"/>
      <w:pPr>
        <w:ind w:left="4862" w:hanging="601"/>
      </w:pPr>
      <w:rPr>
        <w:rFonts w:hint="default"/>
      </w:rPr>
    </w:lvl>
    <w:lvl w:ilvl="5" w:tentative="0">
      <w:start w:val="0"/>
      <w:numFmt w:val="bullet"/>
      <w:lvlText w:val="•"/>
      <w:lvlJc w:val="left"/>
      <w:pPr>
        <w:ind w:left="5849" w:hanging="601"/>
      </w:pPr>
      <w:rPr>
        <w:rFonts w:hint="default"/>
      </w:rPr>
    </w:lvl>
    <w:lvl w:ilvl="6" w:tentative="0">
      <w:start w:val="0"/>
      <w:numFmt w:val="bullet"/>
      <w:lvlText w:val="•"/>
      <w:lvlJc w:val="left"/>
      <w:pPr>
        <w:ind w:left="6836" w:hanging="601"/>
      </w:pPr>
      <w:rPr>
        <w:rFonts w:hint="default"/>
      </w:rPr>
    </w:lvl>
    <w:lvl w:ilvl="7" w:tentative="0">
      <w:start w:val="0"/>
      <w:numFmt w:val="bullet"/>
      <w:lvlText w:val="•"/>
      <w:lvlJc w:val="left"/>
      <w:pPr>
        <w:ind w:left="7824" w:hanging="601"/>
      </w:pPr>
      <w:rPr>
        <w:rFonts w:hint="default"/>
      </w:rPr>
    </w:lvl>
    <w:lvl w:ilvl="8" w:tentative="0">
      <w:start w:val="0"/>
      <w:numFmt w:val="bullet"/>
      <w:lvlText w:val="•"/>
      <w:lvlJc w:val="left"/>
      <w:pPr>
        <w:ind w:left="8811" w:hanging="601"/>
      </w:pPr>
      <w:rPr>
        <w:rFonts w:hint="default"/>
      </w:rPr>
    </w:lvl>
  </w:abstractNum>
  <w:num w:numId="1">
    <w:abstractNumId w:val="8"/>
  </w:num>
  <w:num w:numId="2">
    <w:abstractNumId w:val="16"/>
  </w:num>
  <w:num w:numId="3">
    <w:abstractNumId w:val="3"/>
  </w:num>
  <w:num w:numId="4">
    <w:abstractNumId w:val="2"/>
  </w:num>
  <w:num w:numId="5">
    <w:abstractNumId w:val="10"/>
  </w:num>
  <w:num w:numId="6">
    <w:abstractNumId w:val="12"/>
  </w:num>
  <w:num w:numId="7">
    <w:abstractNumId w:val="19"/>
  </w:num>
  <w:num w:numId="8">
    <w:abstractNumId w:val="9"/>
  </w:num>
  <w:num w:numId="9">
    <w:abstractNumId w:val="0"/>
  </w:num>
  <w:num w:numId="10">
    <w:abstractNumId w:val="13"/>
  </w:num>
  <w:num w:numId="11">
    <w:abstractNumId w:val="17"/>
  </w:num>
  <w:num w:numId="12">
    <w:abstractNumId w:val="4"/>
  </w:num>
  <w:num w:numId="13">
    <w:abstractNumId w:val="15"/>
  </w:num>
  <w:num w:numId="14">
    <w:abstractNumId w:val="7"/>
  </w:num>
  <w:num w:numId="15">
    <w:abstractNumId w:val="11"/>
  </w:num>
  <w:num w:numId="16">
    <w:abstractNumId w:val="6"/>
  </w:num>
  <w:num w:numId="17">
    <w:abstractNumId w:val="5"/>
  </w:num>
  <w:num w:numId="18">
    <w:abstractNumId w:val="1"/>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0417F"/>
    <w:rsid w:val="219B1D57"/>
    <w:rsid w:val="2756437A"/>
    <w:rsid w:val="515972FC"/>
    <w:rsid w:val="531108EF"/>
    <w:rsid w:val="5E354D0C"/>
    <w:rsid w:val="6F9236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next w:val="1"/>
    <w:qFormat/>
    <w:uiPriority w:val="1"/>
    <w:pPr>
      <w:spacing w:line="921" w:lineRule="exact"/>
      <w:ind w:left="113" w:right="510"/>
      <w:jc w:val="center"/>
      <w:outlineLvl w:val="1"/>
    </w:pPr>
    <w:rPr>
      <w:rFonts w:ascii="宋体" w:hAnsi="宋体" w:eastAsia="宋体" w:cs="宋体"/>
      <w:b/>
      <w:bCs/>
      <w:sz w:val="72"/>
      <w:szCs w:val="72"/>
    </w:rPr>
  </w:style>
  <w:style w:type="paragraph" w:styleId="4">
    <w:name w:val="heading 2"/>
    <w:basedOn w:val="1"/>
    <w:next w:val="1"/>
    <w:qFormat/>
    <w:uiPriority w:val="1"/>
    <w:pPr>
      <w:spacing w:before="28"/>
      <w:ind w:left="111" w:right="510" w:hanging="27"/>
      <w:jc w:val="center"/>
      <w:outlineLvl w:val="2"/>
    </w:pPr>
    <w:rPr>
      <w:rFonts w:ascii="宋体" w:hAnsi="宋体" w:eastAsia="宋体" w:cs="宋体"/>
      <w:b/>
      <w:bCs/>
      <w:sz w:val="52"/>
      <w:szCs w:val="52"/>
    </w:rPr>
  </w:style>
  <w:style w:type="paragraph" w:styleId="5">
    <w:name w:val="heading 3"/>
    <w:basedOn w:val="1"/>
    <w:next w:val="1"/>
    <w:qFormat/>
    <w:uiPriority w:val="1"/>
    <w:pPr>
      <w:spacing w:before="55"/>
      <w:ind w:left="110" w:right="510"/>
      <w:jc w:val="center"/>
      <w:outlineLvl w:val="3"/>
    </w:pPr>
    <w:rPr>
      <w:rFonts w:ascii="宋体" w:hAnsi="宋体" w:eastAsia="宋体" w:cs="宋体"/>
      <w:b/>
      <w:bCs/>
      <w:sz w:val="32"/>
      <w:szCs w:val="32"/>
    </w:rPr>
  </w:style>
  <w:style w:type="paragraph" w:styleId="6">
    <w:name w:val="heading 4"/>
    <w:basedOn w:val="1"/>
    <w:next w:val="1"/>
    <w:qFormat/>
    <w:uiPriority w:val="1"/>
    <w:pPr>
      <w:ind w:left="110" w:right="510"/>
      <w:jc w:val="center"/>
      <w:outlineLvl w:val="4"/>
    </w:pPr>
    <w:rPr>
      <w:rFonts w:ascii="黑体" w:hAnsi="黑体" w:eastAsia="黑体" w:cs="黑体"/>
      <w:sz w:val="32"/>
      <w:szCs w:val="32"/>
    </w:rPr>
  </w:style>
  <w:style w:type="paragraph" w:styleId="7">
    <w:name w:val="heading 5"/>
    <w:basedOn w:val="1"/>
    <w:next w:val="1"/>
    <w:qFormat/>
    <w:uiPriority w:val="1"/>
    <w:pPr>
      <w:spacing w:before="58"/>
      <w:ind w:right="284"/>
      <w:jc w:val="center"/>
      <w:outlineLvl w:val="5"/>
    </w:pPr>
    <w:rPr>
      <w:rFonts w:ascii="宋体" w:hAnsi="宋体" w:eastAsia="宋体" w:cs="宋体"/>
      <w:b/>
      <w:bCs/>
      <w:sz w:val="30"/>
      <w:szCs w:val="30"/>
    </w:rPr>
  </w:style>
  <w:style w:type="paragraph" w:styleId="8">
    <w:name w:val="heading 6"/>
    <w:basedOn w:val="1"/>
    <w:next w:val="1"/>
    <w:qFormat/>
    <w:uiPriority w:val="1"/>
    <w:pPr>
      <w:spacing w:before="61"/>
      <w:outlineLvl w:val="6"/>
    </w:pPr>
    <w:rPr>
      <w:rFonts w:ascii="宋体" w:hAnsi="宋体" w:eastAsia="宋体" w:cs="宋体"/>
      <w:b/>
      <w:bCs/>
      <w:sz w:val="28"/>
      <w:szCs w:val="28"/>
    </w:rPr>
  </w:style>
  <w:style w:type="paragraph" w:styleId="9">
    <w:name w:val="heading 7"/>
    <w:basedOn w:val="1"/>
    <w:next w:val="1"/>
    <w:qFormat/>
    <w:uiPriority w:val="1"/>
    <w:pPr>
      <w:spacing w:before="62"/>
      <w:jc w:val="center"/>
      <w:outlineLvl w:val="7"/>
    </w:pPr>
    <w:rPr>
      <w:rFonts w:ascii="宋体" w:hAnsi="宋体" w:eastAsia="宋体" w:cs="宋体"/>
      <w:sz w:val="28"/>
      <w:szCs w:val="28"/>
    </w:rPr>
  </w:style>
  <w:style w:type="paragraph" w:styleId="10">
    <w:name w:val="heading 8"/>
    <w:basedOn w:val="1"/>
    <w:next w:val="1"/>
    <w:qFormat/>
    <w:uiPriority w:val="1"/>
    <w:pPr>
      <w:ind w:left="826"/>
      <w:outlineLvl w:val="8"/>
    </w:pPr>
    <w:rPr>
      <w:rFonts w:ascii="宋体" w:hAnsi="宋体" w:eastAsia="宋体" w:cs="宋体"/>
      <w:b/>
      <w:bCs/>
      <w:sz w:val="24"/>
      <w:szCs w:val="24"/>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11">
    <w:name w:val="Body Text"/>
    <w:basedOn w:val="1"/>
    <w:qFormat/>
    <w:uiPriority w:val="1"/>
    <w:rPr>
      <w:rFonts w:ascii="宋体" w:hAnsi="宋体" w:eastAsia="宋体" w:cs="宋体"/>
      <w:sz w:val="24"/>
      <w:szCs w:val="24"/>
    </w:rPr>
  </w:style>
  <w:style w:type="character" w:styleId="14">
    <w:name w:val="Strong"/>
    <w:basedOn w:val="13"/>
    <w:qFormat/>
    <w:uiPriority w:val="0"/>
    <w:rPr>
      <w:b/>
    </w:rPr>
  </w:style>
  <w:style w:type="character" w:styleId="15">
    <w:name w:val="FollowedHyperlink"/>
    <w:basedOn w:val="13"/>
    <w:qFormat/>
    <w:uiPriority w:val="0"/>
    <w:rPr>
      <w:color w:val="800080"/>
      <w:u w:val="none"/>
    </w:rPr>
  </w:style>
  <w:style w:type="character" w:styleId="16">
    <w:name w:val="Hyperlink"/>
    <w:basedOn w:val="13"/>
    <w:uiPriority w:val="0"/>
    <w:rPr>
      <w:color w:val="0000FF"/>
      <w:u w:val="none"/>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826" w:firstLine="480"/>
    </w:pPr>
    <w:rPr>
      <w:rFonts w:ascii="宋体" w:hAnsi="宋体" w:eastAsia="宋体" w:cs="宋体"/>
    </w:rPr>
  </w:style>
  <w:style w:type="paragraph" w:customStyle="1" w:styleId="1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21150</Words>
  <Characters>21861</Characters>
  <TotalTime>7</TotalTime>
  <ScaleCrop>false</ScaleCrop>
  <LinksUpToDate>false</LinksUpToDate>
  <CharactersWithSpaces>22538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2020-07-06T05:37:00Z</dcterms:created>
  <dc:creator>Administrator</dc:creator>
  <cp:lastModifiedBy>Administrator</cp:lastModifiedBy>
  <dcterms:modified xsi:type="dcterms:W3CDTF">2020-07-27T08:06:47Z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Creator">
    <vt:lpwstr>WPS Office</vt:lpwstr>
  </property>
  <property fmtid="{D5CDD505-2E9C-101B-9397-08002B2CF9AE}" pid="4" name="LastSaved">
    <vt:filetime>2020-07-06T00:00:00Z</vt:filetime>
  </property>
  <property fmtid="{D5CDD505-2E9C-101B-9397-08002B2CF9AE}" pid="5" name="KSOProductBuildVer">
    <vt:lpwstr>2052-11.1.0.9828</vt:lpwstr>
  </property>
</Properties>
</file>